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ascii="黑体" w:eastAsia="黑体"/>
          <w:b w:val="0"/>
          <w:bCs/>
          <w:sz w:val="36"/>
          <w:szCs w:val="36"/>
        </w:rPr>
      </w:pPr>
      <w:r>
        <w:rPr>
          <w:rFonts w:hint="eastAsia" w:ascii="黑体" w:eastAsia="黑体"/>
          <w:b w:val="0"/>
          <w:bCs/>
          <w:szCs w:val="21"/>
        </w:rPr>
        <w:t>附件2：</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eastAsia="黑体"/>
          <w:b/>
          <w:sz w:val="32"/>
          <w:szCs w:val="32"/>
        </w:rPr>
      </w:pPr>
      <w:r>
        <w:rPr>
          <w:rFonts w:hint="eastAsia" w:ascii="黑体" w:eastAsia="黑体"/>
          <w:b/>
          <w:sz w:val="32"/>
          <w:szCs w:val="32"/>
        </w:rPr>
        <w:t>呼和浩特职业学院“教、学、做”一体化教学改革</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黑体" w:eastAsia="黑体"/>
          <w:b/>
          <w:sz w:val="32"/>
          <w:szCs w:val="32"/>
        </w:rPr>
      </w:pPr>
      <w:r>
        <w:rPr>
          <w:rFonts w:hint="eastAsia" w:ascii="黑体" w:eastAsia="黑体"/>
          <w:b/>
          <w:sz w:val="32"/>
          <w:szCs w:val="32"/>
          <w:lang w:eastAsia="zh-CN"/>
        </w:rPr>
        <w:t>示范</w:t>
      </w:r>
      <w:r>
        <w:rPr>
          <w:rFonts w:hint="eastAsia" w:ascii="黑体" w:eastAsia="黑体"/>
          <w:b/>
          <w:sz w:val="32"/>
          <w:szCs w:val="32"/>
        </w:rPr>
        <w:t>课程评审标准</w:t>
      </w:r>
    </w:p>
    <w:tbl>
      <w:tblPr>
        <w:tblStyle w:val="4"/>
        <w:tblW w:w="9058" w:type="dxa"/>
        <w:jc w:val="center"/>
        <w:tblInd w:w="-447" w:type="dxa"/>
        <w:tblLayout w:type="fixed"/>
        <w:tblCellMar>
          <w:top w:w="0" w:type="dxa"/>
          <w:left w:w="0" w:type="dxa"/>
          <w:bottom w:w="0" w:type="dxa"/>
          <w:right w:w="0" w:type="dxa"/>
        </w:tblCellMar>
      </w:tblPr>
      <w:tblGrid>
        <w:gridCol w:w="1088"/>
        <w:gridCol w:w="643"/>
        <w:gridCol w:w="963"/>
        <w:gridCol w:w="6364"/>
      </w:tblGrid>
      <w:tr>
        <w:tblPrEx>
          <w:tblLayout w:type="fixed"/>
          <w:tblCellMar>
            <w:top w:w="0" w:type="dxa"/>
            <w:left w:w="0" w:type="dxa"/>
            <w:bottom w:w="0" w:type="dxa"/>
            <w:right w:w="0" w:type="dxa"/>
          </w:tblCellMar>
        </w:tblPrEx>
        <w:trPr>
          <w:cantSplit/>
          <w:trHeight w:val="99" w:hRule="atLeast"/>
          <w:jc w:val="center"/>
        </w:trPr>
        <w:tc>
          <w:tcPr>
            <w:tcW w:w="10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一级指标</w:t>
            </w:r>
          </w:p>
        </w:tc>
        <w:tc>
          <w:tcPr>
            <w:tcW w:w="64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二级</w:t>
            </w:r>
          </w:p>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指标</w:t>
            </w:r>
          </w:p>
        </w:tc>
        <w:tc>
          <w:tcPr>
            <w:tcW w:w="96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主  要</w:t>
            </w:r>
          </w:p>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观测点</w:t>
            </w:r>
          </w:p>
        </w:tc>
        <w:tc>
          <w:tcPr>
            <w:tcW w:w="636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b/>
                <w:kern w:val="0"/>
                <w:szCs w:val="21"/>
              </w:rPr>
            </w:pPr>
            <w:r>
              <w:rPr>
                <w:rFonts w:hint="eastAsia" w:ascii="仿宋_GB2312" w:eastAsia="仿宋_GB2312"/>
                <w:b/>
                <w:color w:val="000000"/>
                <w:kern w:val="0"/>
                <w:szCs w:val="21"/>
              </w:rPr>
              <w:t>评审标准</w:t>
            </w:r>
          </w:p>
        </w:tc>
      </w:tr>
      <w:tr>
        <w:tblPrEx>
          <w:tblLayout w:type="fixed"/>
          <w:tblCellMar>
            <w:top w:w="0" w:type="dxa"/>
            <w:left w:w="0" w:type="dxa"/>
            <w:bottom w:w="0" w:type="dxa"/>
            <w:right w:w="0" w:type="dxa"/>
          </w:tblCellMar>
        </w:tblPrEx>
        <w:trPr>
          <w:cantSplit/>
          <w:trHeight w:val="858" w:hRule="atLeast"/>
          <w:jc w:val="center"/>
        </w:trPr>
        <w:tc>
          <w:tcPr>
            <w:tcW w:w="1088" w:type="dxa"/>
            <w:vMerge w:val="restart"/>
            <w:tcBorders>
              <w:top w:val="nil"/>
              <w:left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课</w:t>
            </w:r>
          </w:p>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程</w:t>
            </w:r>
          </w:p>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标</w:t>
            </w:r>
          </w:p>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准</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 </w:t>
            </w:r>
          </w:p>
          <w:p>
            <w:pPr>
              <w:widowControl/>
              <w:spacing w:line="300" w:lineRule="atLeast"/>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(20分)</w:t>
            </w: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1-1</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课程</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定位</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性质与</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作用</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5分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spacing w:val="-4"/>
                <w:kern w:val="0"/>
                <w:szCs w:val="21"/>
              </w:rPr>
              <w:t>符合技术技能型人才培养目标和专业相关技术领域职业岗位（群）的任职要求；本课程对学生职业能力培养和职业素养养成起主要支撑或明显促进作用，且与前、后续课程衔接得当。</w:t>
            </w:r>
          </w:p>
        </w:tc>
      </w:tr>
      <w:tr>
        <w:tblPrEx>
          <w:tblLayout w:type="fixed"/>
          <w:tblCellMar>
            <w:top w:w="0" w:type="dxa"/>
            <w:left w:w="0" w:type="dxa"/>
            <w:bottom w:w="0" w:type="dxa"/>
            <w:right w:w="0" w:type="dxa"/>
          </w:tblCellMar>
        </w:tblPrEx>
        <w:trPr>
          <w:cantSplit/>
          <w:trHeight w:val="876" w:hRule="atLeast"/>
          <w:jc w:val="center"/>
        </w:trPr>
        <w:tc>
          <w:tcPr>
            <w:tcW w:w="1088" w:type="dxa"/>
            <w:vMerge w:val="continue"/>
            <w:tcBorders>
              <w:left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1-2</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设计思路</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理念与</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思路</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10分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以增强就业能力培养为重点，与行业企业合作进行基于工作过程的课程开发与设计，充分体现职业性、实践性和开放性的要求。</w:t>
            </w:r>
          </w:p>
        </w:tc>
      </w:tr>
      <w:tr>
        <w:tblPrEx>
          <w:tblLayout w:type="fixed"/>
          <w:tblCellMar>
            <w:top w:w="0" w:type="dxa"/>
            <w:left w:w="0" w:type="dxa"/>
            <w:bottom w:w="0" w:type="dxa"/>
            <w:right w:w="0" w:type="dxa"/>
          </w:tblCellMar>
        </w:tblPrEx>
        <w:trPr>
          <w:cantSplit/>
          <w:trHeight w:val="831" w:hRule="atLeast"/>
          <w:jc w:val="center"/>
        </w:trPr>
        <w:tc>
          <w:tcPr>
            <w:tcW w:w="1088" w:type="dxa"/>
            <w:vMerge w:val="continue"/>
            <w:tcBorders>
              <w:left w:val="single" w:color="auto" w:sz="8" w:space="0"/>
              <w:bottom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1-3实施方案</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教学实施建议</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5分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color w:val="000000"/>
                <w:kern w:val="0"/>
                <w:szCs w:val="21"/>
              </w:rPr>
            </w:pPr>
            <w:r>
              <w:rPr>
                <w:rFonts w:hint="eastAsia" w:ascii="仿宋_GB2312" w:eastAsia="仿宋_GB2312"/>
                <w:color w:val="000000"/>
                <w:kern w:val="0"/>
                <w:szCs w:val="21"/>
              </w:rPr>
              <w:t>课程标准与职业标准紧密对接，从学生发展的角度出发，强调学习过程、学习方法以及情感态度。</w:t>
            </w:r>
          </w:p>
        </w:tc>
      </w:tr>
      <w:tr>
        <w:tblPrEx>
          <w:tblLayout w:type="fixed"/>
          <w:tblCellMar>
            <w:top w:w="0" w:type="dxa"/>
            <w:left w:w="0" w:type="dxa"/>
            <w:bottom w:w="0" w:type="dxa"/>
            <w:right w:w="0" w:type="dxa"/>
          </w:tblCellMar>
        </w:tblPrEx>
        <w:trPr>
          <w:cantSplit/>
          <w:trHeight w:val="991" w:hRule="atLeast"/>
          <w:jc w:val="center"/>
        </w:trPr>
        <w:tc>
          <w:tcPr>
            <w:tcW w:w="1088" w:type="dxa"/>
            <w:vMerge w:val="restart"/>
            <w:tcBorders>
              <w:top w:val="nil"/>
              <w:left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教案/</w:t>
            </w:r>
          </w:p>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教材</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讲义</w:t>
            </w:r>
          </w:p>
          <w:p>
            <w:pPr>
              <w:widowControl/>
              <w:spacing w:line="300" w:lineRule="atLeast"/>
              <w:jc w:val="center"/>
              <w:rPr>
                <w:rFonts w:hint="eastAsia" w:ascii="仿宋_GB2312" w:eastAsia="仿宋_GB2312"/>
                <w:color w:val="000000"/>
                <w:kern w:val="0"/>
                <w:szCs w:val="21"/>
              </w:rPr>
            </w:pP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30分</w:t>
            </w:r>
            <w:r>
              <w:rPr>
                <w:rFonts w:hint="eastAsia" w:ascii="仿宋_GB2312" w:eastAsia="仿宋_GB2312"/>
                <w:color w:val="000000"/>
                <w:kern w:val="0"/>
                <w:szCs w:val="21"/>
                <w:lang w:eastAsia="zh-CN"/>
              </w:rPr>
              <w:t>）</w:t>
            </w:r>
          </w:p>
          <w:p>
            <w:pPr>
              <w:widowControl/>
              <w:spacing w:line="300" w:lineRule="atLeast"/>
              <w:jc w:val="center"/>
              <w:rPr>
                <w:rFonts w:ascii="仿宋_GB2312" w:eastAsia="仿宋_GB2312"/>
                <w:kern w:val="0"/>
                <w:szCs w:val="21"/>
              </w:rPr>
            </w:pP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2-1</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内容选取</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针对性和适用性</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5分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根据行业企业发展需要和完成职业岗位实际工作任务所需的知识、能力、素质要求，参照课程标准，选取教学内容，并为学生可持续发展奠定良好的基础。</w:t>
            </w:r>
          </w:p>
        </w:tc>
      </w:tr>
      <w:tr>
        <w:tblPrEx>
          <w:tblLayout w:type="fixed"/>
          <w:tblCellMar>
            <w:top w:w="0" w:type="dxa"/>
            <w:left w:w="0" w:type="dxa"/>
            <w:bottom w:w="0" w:type="dxa"/>
            <w:right w:w="0" w:type="dxa"/>
          </w:tblCellMar>
        </w:tblPrEx>
        <w:trPr>
          <w:cantSplit/>
          <w:trHeight w:val="90" w:hRule="atLeast"/>
          <w:jc w:val="center"/>
        </w:trPr>
        <w:tc>
          <w:tcPr>
            <w:tcW w:w="1088" w:type="dxa"/>
            <w:vMerge w:val="continue"/>
            <w:tcBorders>
              <w:left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2-2</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内容组织</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组织与</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安排</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10分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遵循学生职业能力培养的基本规律，以真实工作任务及其工作过程为依据整合、序化教学内容，科学设计学习性工作任务，教、学、做结合，理论与实践一体化，实训、实习等教学环节设计合理。</w:t>
            </w:r>
          </w:p>
        </w:tc>
      </w:tr>
      <w:tr>
        <w:tblPrEx>
          <w:tblLayout w:type="fixed"/>
          <w:tblCellMar>
            <w:top w:w="0" w:type="dxa"/>
            <w:left w:w="0" w:type="dxa"/>
            <w:bottom w:w="0" w:type="dxa"/>
            <w:right w:w="0" w:type="dxa"/>
          </w:tblCellMar>
        </w:tblPrEx>
        <w:trPr>
          <w:cantSplit/>
          <w:trHeight w:val="991" w:hRule="atLeast"/>
          <w:jc w:val="center"/>
        </w:trPr>
        <w:tc>
          <w:tcPr>
            <w:tcW w:w="1088" w:type="dxa"/>
            <w:vMerge w:val="continue"/>
            <w:tcBorders>
              <w:left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2-3</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表现形式</w:t>
            </w:r>
          </w:p>
        </w:tc>
        <w:tc>
          <w:tcPr>
            <w:tcW w:w="96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rPr>
              <w:t>教材</w:t>
            </w:r>
            <w:r>
              <w:rPr>
                <w:rFonts w:hint="eastAsia" w:ascii="仿宋_GB2312" w:eastAsia="仿宋_GB2312"/>
                <w:color w:val="000000"/>
                <w:kern w:val="0"/>
                <w:szCs w:val="21"/>
                <w:lang w:eastAsia="zh-CN"/>
              </w:rPr>
              <w:t>或</w:t>
            </w:r>
            <w:r>
              <w:rPr>
                <w:rFonts w:hint="eastAsia" w:ascii="仿宋_GB2312" w:eastAsia="仿宋_GB2312"/>
                <w:color w:val="000000"/>
                <w:kern w:val="0"/>
                <w:szCs w:val="21"/>
                <w:lang w:val="en-US" w:eastAsia="zh-CN"/>
              </w:rPr>
              <w:t xml:space="preserve"> </w:t>
            </w:r>
            <w:r>
              <w:rPr>
                <w:rFonts w:hint="eastAsia" w:ascii="仿宋_GB2312" w:eastAsia="仿宋_GB2312"/>
                <w:color w:val="000000"/>
                <w:kern w:val="0"/>
                <w:szCs w:val="21"/>
                <w:lang w:eastAsia="zh-CN"/>
              </w:rPr>
              <w:t>讲义</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15分</w:t>
            </w:r>
            <w:r>
              <w:rPr>
                <w:rFonts w:hint="eastAsia" w:ascii="仿宋_GB2312" w:eastAsia="仿宋_GB2312"/>
                <w:color w:val="000000"/>
                <w:kern w:val="0"/>
                <w:szCs w:val="21"/>
                <w:lang w:eastAsia="zh-CN"/>
              </w:rPr>
              <w:t>）</w:t>
            </w:r>
          </w:p>
        </w:tc>
        <w:tc>
          <w:tcPr>
            <w:tcW w:w="63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选用先进、适用教材，与行业企业合作编写工学结合特色教材，课件、案例、习题、实训实习项目、学习指南等教学相关资料齐全，符合课程设计要求。</w:t>
            </w:r>
          </w:p>
        </w:tc>
      </w:tr>
      <w:tr>
        <w:tblPrEx>
          <w:tblLayout w:type="fixed"/>
          <w:tblCellMar>
            <w:top w:w="0" w:type="dxa"/>
            <w:left w:w="0" w:type="dxa"/>
            <w:bottom w:w="0" w:type="dxa"/>
            <w:right w:w="0" w:type="dxa"/>
          </w:tblCellMar>
        </w:tblPrEx>
        <w:trPr>
          <w:cantSplit/>
          <w:trHeight w:val="990" w:hRule="atLeast"/>
          <w:jc w:val="center"/>
        </w:trPr>
        <w:tc>
          <w:tcPr>
            <w:tcW w:w="1088"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教学</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模式</w:t>
            </w:r>
          </w:p>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改革</w:t>
            </w:r>
          </w:p>
          <w:p>
            <w:pPr>
              <w:widowControl/>
              <w:spacing w:line="300" w:lineRule="atLeast"/>
              <w:jc w:val="center"/>
              <w:rPr>
                <w:rFonts w:hint="eastAsia" w:ascii="仿宋_GB2312" w:eastAsia="仿宋_GB2312"/>
                <w:color w:val="000000"/>
                <w:kern w:val="0"/>
                <w:szCs w:val="21"/>
              </w:rPr>
            </w:pP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40</w:t>
            </w:r>
            <w:bookmarkStart w:id="0" w:name="_GoBack"/>
            <w:bookmarkEnd w:id="0"/>
            <w:r>
              <w:rPr>
                <w:rFonts w:hint="eastAsia" w:ascii="仿宋_GB2312" w:eastAsia="仿宋_GB2312"/>
                <w:color w:val="000000"/>
                <w:kern w:val="0"/>
                <w:szCs w:val="21"/>
                <w:lang w:val="en-US" w:eastAsia="zh-CN"/>
              </w:rPr>
              <w:t>分</w:t>
            </w:r>
            <w:r>
              <w:rPr>
                <w:rFonts w:hint="eastAsia" w:ascii="仿宋_GB2312" w:eastAsia="仿宋_GB2312"/>
                <w:color w:val="000000"/>
                <w:kern w:val="0"/>
                <w:szCs w:val="21"/>
                <w:lang w:eastAsia="zh-CN"/>
              </w:rPr>
              <w:t>）</w:t>
            </w:r>
          </w:p>
        </w:tc>
        <w:tc>
          <w:tcPr>
            <w:tcW w:w="64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3-1</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教学设计</w:t>
            </w:r>
          </w:p>
        </w:tc>
        <w:tc>
          <w:tcPr>
            <w:tcW w:w="96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针对性和适用性</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10分</w:t>
            </w:r>
            <w:r>
              <w:rPr>
                <w:rFonts w:hint="eastAsia" w:ascii="仿宋_GB2312" w:eastAsia="仿宋_GB2312"/>
                <w:color w:val="000000"/>
                <w:kern w:val="0"/>
                <w:szCs w:val="21"/>
                <w:lang w:eastAsia="zh-CN"/>
              </w:rPr>
              <w:t>）</w:t>
            </w:r>
          </w:p>
        </w:tc>
        <w:tc>
          <w:tcPr>
            <w:tcW w:w="636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重视学生在校学习与实际工作的一致性，有针对性地采取工学交替、任务驱动、理实一体等行动导向的教学模式，符合相关性、层递性和多样性原则。</w:t>
            </w:r>
          </w:p>
        </w:tc>
      </w:tr>
      <w:tr>
        <w:tblPrEx>
          <w:tblLayout w:type="fixed"/>
          <w:tblCellMar>
            <w:top w:w="0" w:type="dxa"/>
            <w:left w:w="0" w:type="dxa"/>
            <w:bottom w:w="0" w:type="dxa"/>
            <w:right w:w="0" w:type="dxa"/>
          </w:tblCellMar>
        </w:tblPrEx>
        <w:trPr>
          <w:cantSplit/>
          <w:trHeight w:val="1036" w:hRule="atLeast"/>
          <w:jc w:val="center"/>
        </w:trPr>
        <w:tc>
          <w:tcPr>
            <w:tcW w:w="10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3-2</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方法</w:t>
            </w:r>
          </w:p>
        </w:tc>
        <w:tc>
          <w:tcPr>
            <w:tcW w:w="96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教学方法的运用</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10分</w:t>
            </w:r>
            <w:r>
              <w:rPr>
                <w:rFonts w:hint="eastAsia" w:ascii="仿宋_GB2312" w:eastAsia="仿宋_GB2312"/>
                <w:color w:val="000000"/>
                <w:kern w:val="0"/>
                <w:szCs w:val="21"/>
                <w:lang w:eastAsia="zh-CN"/>
              </w:rPr>
              <w:t>）</w:t>
            </w:r>
          </w:p>
        </w:tc>
        <w:tc>
          <w:tcPr>
            <w:tcW w:w="636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Cs w:val="21"/>
              </w:rPr>
            </w:pPr>
            <w:r>
              <w:rPr>
                <w:rFonts w:hint="eastAsia" w:ascii="仿宋_GB2312" w:eastAsia="仿宋_GB2312"/>
                <w:color w:val="000000"/>
                <w:kern w:val="0"/>
                <w:szCs w:val="21"/>
              </w:rPr>
              <w:t>根据课程内容和学生特点，灵活运用案例分析、分组讨论、角色扮演、启发引导、翻转课堂等教学方法，引导学生积极思考、乐于实践，提高教、学效果。</w:t>
            </w:r>
          </w:p>
        </w:tc>
      </w:tr>
      <w:tr>
        <w:tblPrEx>
          <w:tblLayout w:type="fixed"/>
          <w:tblCellMar>
            <w:top w:w="0" w:type="dxa"/>
            <w:left w:w="0" w:type="dxa"/>
            <w:bottom w:w="0" w:type="dxa"/>
            <w:right w:w="0" w:type="dxa"/>
          </w:tblCellMar>
        </w:tblPrEx>
        <w:trPr>
          <w:cantSplit/>
          <w:trHeight w:val="841" w:hRule="atLeast"/>
          <w:jc w:val="center"/>
        </w:trPr>
        <w:tc>
          <w:tcPr>
            <w:tcW w:w="10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3-3</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Cs w:val="21"/>
              </w:rPr>
            </w:pPr>
            <w:r>
              <w:rPr>
                <w:rFonts w:hint="eastAsia" w:ascii="仿宋_GB2312" w:eastAsia="仿宋_GB2312"/>
                <w:color w:val="000000"/>
                <w:kern w:val="0"/>
                <w:szCs w:val="21"/>
              </w:rPr>
              <w:t>手段</w:t>
            </w:r>
          </w:p>
        </w:tc>
        <w:tc>
          <w:tcPr>
            <w:tcW w:w="96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rPr>
            </w:pPr>
            <w:r>
              <w:rPr>
                <w:rFonts w:hint="eastAsia" w:ascii="仿宋_GB2312" w:eastAsia="仿宋_GB2312"/>
                <w:color w:val="000000"/>
                <w:kern w:val="0"/>
                <w:szCs w:val="21"/>
              </w:rPr>
              <w:t>现代技术的应用</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5分</w:t>
            </w:r>
            <w:r>
              <w:rPr>
                <w:rFonts w:hint="eastAsia" w:ascii="仿宋_GB2312" w:eastAsia="仿宋_GB2312"/>
                <w:color w:val="000000"/>
                <w:kern w:val="0"/>
                <w:szCs w:val="21"/>
                <w:lang w:eastAsia="zh-CN"/>
              </w:rPr>
              <w:t>）</w:t>
            </w:r>
          </w:p>
        </w:tc>
        <w:tc>
          <w:tcPr>
            <w:tcW w:w="636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hint="eastAsia" w:ascii="仿宋_GB2312" w:eastAsia="仿宋_GB2312"/>
                <w:kern w:val="0"/>
                <w:szCs w:val="21"/>
                <w:lang w:eastAsia="zh-CN"/>
              </w:rPr>
            </w:pPr>
            <w:r>
              <w:rPr>
                <w:rFonts w:hint="eastAsia" w:ascii="仿宋_GB2312" w:eastAsia="仿宋_GB2312"/>
                <w:color w:val="000000"/>
                <w:kern w:val="0"/>
                <w:szCs w:val="21"/>
              </w:rPr>
              <w:t>利用理实一体化教室、技能训练中心等教学场所，运用现代教育技术和虚拟现实</w:t>
            </w:r>
            <w:r>
              <w:rPr>
                <w:rFonts w:hint="eastAsia" w:ascii="仿宋_GB2312" w:eastAsia="仿宋_GB2312"/>
                <w:color w:val="000000"/>
                <w:kern w:val="0"/>
                <w:szCs w:val="21"/>
                <w:lang w:eastAsia="zh-CN"/>
              </w:rPr>
              <w:t>技术。</w:t>
            </w:r>
          </w:p>
        </w:tc>
      </w:tr>
      <w:tr>
        <w:tblPrEx>
          <w:tblLayout w:type="fixed"/>
          <w:tblCellMar>
            <w:top w:w="0" w:type="dxa"/>
            <w:left w:w="0" w:type="dxa"/>
            <w:bottom w:w="0" w:type="dxa"/>
            <w:right w:w="0" w:type="dxa"/>
          </w:tblCellMar>
        </w:tblPrEx>
        <w:trPr>
          <w:cantSplit/>
          <w:trHeight w:val="751" w:hRule="atLeast"/>
          <w:jc w:val="center"/>
        </w:trPr>
        <w:tc>
          <w:tcPr>
            <w:tcW w:w="10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kern w:val="0"/>
                <w:szCs w:val="21"/>
              </w:rPr>
            </w:pPr>
          </w:p>
        </w:tc>
        <w:tc>
          <w:tcPr>
            <w:tcW w:w="64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3-4</w:t>
            </w:r>
          </w:p>
          <w:p>
            <w:pPr>
              <w:widowControl/>
              <w:spacing w:line="300" w:lineRule="atLeas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lang w:val="en-US" w:eastAsia="zh-CN"/>
              </w:rPr>
              <w:t>考核方式</w:t>
            </w:r>
          </w:p>
        </w:tc>
        <w:tc>
          <w:tcPr>
            <w:tcW w:w="96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考核方式改革</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15</w:t>
            </w:r>
            <w:r>
              <w:rPr>
                <w:rFonts w:hint="eastAsia" w:ascii="仿宋_GB2312" w:eastAsia="仿宋_GB2312"/>
                <w:color w:val="000000"/>
                <w:kern w:val="0"/>
                <w:szCs w:val="21"/>
                <w:lang w:eastAsia="zh-CN"/>
              </w:rPr>
              <w:t>分）</w:t>
            </w:r>
          </w:p>
        </w:tc>
        <w:tc>
          <w:tcPr>
            <w:tcW w:w="636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hint="default"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有较为完善的一体化考核方式，考核评价方式、内容科学、合理。平时成绩、过程考核有相关考核标准和考核记录；期末考核能根据课程特点采用灵活多样的考核方式。</w:t>
            </w:r>
          </w:p>
        </w:tc>
      </w:tr>
      <w:tr>
        <w:tblPrEx>
          <w:tblLayout w:type="fixed"/>
          <w:tblCellMar>
            <w:top w:w="0" w:type="dxa"/>
            <w:left w:w="0" w:type="dxa"/>
            <w:bottom w:w="0" w:type="dxa"/>
            <w:right w:w="0" w:type="dxa"/>
          </w:tblCellMar>
        </w:tblPrEx>
        <w:trPr>
          <w:cantSplit/>
          <w:trHeight w:val="799" w:hRule="atLeast"/>
          <w:jc w:val="center"/>
        </w:trPr>
        <w:tc>
          <w:tcPr>
            <w:tcW w:w="1088"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教学</w:t>
            </w:r>
          </w:p>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效果</w:t>
            </w:r>
          </w:p>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10分</w:t>
            </w:r>
            <w:r>
              <w:rPr>
                <w:rFonts w:hint="eastAsia" w:ascii="仿宋_GB2312" w:eastAsia="仿宋_GB2312"/>
                <w:kern w:val="0"/>
                <w:szCs w:val="21"/>
                <w:lang w:eastAsia="zh-CN"/>
              </w:rPr>
              <w:t>）</w:t>
            </w:r>
          </w:p>
        </w:tc>
        <w:tc>
          <w:tcPr>
            <w:tcW w:w="64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4-1</w:t>
            </w:r>
          </w:p>
          <w:p>
            <w:pPr>
              <w:widowControl/>
              <w:spacing w:line="300" w:lineRule="atLeas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lang w:val="en-US" w:eastAsia="zh-CN"/>
              </w:rPr>
              <w:t>评教</w:t>
            </w:r>
          </w:p>
        </w:tc>
        <w:tc>
          <w:tcPr>
            <w:tcW w:w="963"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学生、教师评教</w:t>
            </w:r>
          </w:p>
          <w:p>
            <w:pPr>
              <w:widowControl/>
              <w:spacing w:line="300" w:lineRule="atLeast"/>
              <w:jc w:val="center"/>
              <w:rPr>
                <w:rFonts w:hint="eastAsia" w:ascii="仿宋_GB2312" w:eastAsia="仿宋_GB2312"/>
                <w:color w:val="000000"/>
                <w:kern w:val="0"/>
                <w:szCs w:val="21"/>
                <w:lang w:eastAsia="zh-CN"/>
              </w:rPr>
            </w:pPr>
            <w:r>
              <w:rPr>
                <w:rFonts w:hint="eastAsia" w:ascii="仿宋_GB2312" w:eastAsia="仿宋_GB2312"/>
                <w:color w:val="000000"/>
                <w:kern w:val="0"/>
                <w:szCs w:val="21"/>
                <w:lang w:eastAsia="zh-CN"/>
              </w:rPr>
              <w:t>（</w:t>
            </w:r>
            <w:r>
              <w:rPr>
                <w:rFonts w:hint="eastAsia" w:ascii="仿宋_GB2312" w:eastAsia="仿宋_GB2312"/>
                <w:color w:val="000000"/>
                <w:kern w:val="0"/>
                <w:szCs w:val="21"/>
                <w:lang w:val="en-US" w:eastAsia="zh-CN"/>
              </w:rPr>
              <w:t>10分</w:t>
            </w:r>
            <w:r>
              <w:rPr>
                <w:rFonts w:hint="eastAsia" w:ascii="仿宋_GB2312" w:eastAsia="仿宋_GB2312"/>
                <w:color w:val="000000"/>
                <w:kern w:val="0"/>
                <w:szCs w:val="21"/>
                <w:lang w:eastAsia="zh-CN"/>
              </w:rPr>
              <w:t>）</w:t>
            </w:r>
          </w:p>
        </w:tc>
        <w:tc>
          <w:tcPr>
            <w:tcW w:w="636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hint="default" w:ascii="仿宋_GB2312" w:eastAsia="仿宋_GB2312"/>
                <w:color w:val="000000"/>
                <w:kern w:val="0"/>
                <w:szCs w:val="21"/>
                <w:lang w:val="en-US" w:eastAsia="zh-CN"/>
              </w:rPr>
            </w:pPr>
            <w:r>
              <w:rPr>
                <w:rFonts w:hint="eastAsia" w:ascii="仿宋_GB2312" w:eastAsia="仿宋_GB2312"/>
                <w:color w:val="000000"/>
                <w:kern w:val="0"/>
                <w:szCs w:val="21"/>
                <w:lang w:eastAsia="zh-CN"/>
              </w:rPr>
              <w:t>近三年未发生教学事故和存在师德师风问题，教学评价和教学效果良好，学生评教在</w:t>
            </w:r>
            <w:r>
              <w:rPr>
                <w:rFonts w:hint="eastAsia" w:ascii="仿宋_GB2312" w:eastAsia="仿宋_GB2312"/>
                <w:color w:val="000000"/>
                <w:kern w:val="0"/>
                <w:szCs w:val="21"/>
                <w:lang w:val="en-US" w:eastAsia="zh-CN"/>
              </w:rPr>
              <w:t>95分级以上，教师互评分在90分以上。</w:t>
            </w:r>
          </w:p>
        </w:tc>
      </w:tr>
    </w:tbl>
    <w:p>
      <w:pPr>
        <w:spacing w:line="20" w:lineRule="exact"/>
      </w:pPr>
    </w:p>
    <w:sectPr>
      <w:headerReference r:id="rId3" w:type="default"/>
      <w:footerReference r:id="rId4" w:type="default"/>
      <w:pgSz w:w="11906" w:h="16838"/>
      <w:pgMar w:top="1134" w:right="1417" w:bottom="850" w:left="1417"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10"/>
    <w:rsid w:val="0019334A"/>
    <w:rsid w:val="002F0927"/>
    <w:rsid w:val="002F54A2"/>
    <w:rsid w:val="004F369A"/>
    <w:rsid w:val="005625EB"/>
    <w:rsid w:val="006F4A2E"/>
    <w:rsid w:val="009D6310"/>
    <w:rsid w:val="067B4F1F"/>
    <w:rsid w:val="09A12200"/>
    <w:rsid w:val="0F9807A3"/>
    <w:rsid w:val="1CD63952"/>
    <w:rsid w:val="21FD3FB1"/>
    <w:rsid w:val="22DF12FB"/>
    <w:rsid w:val="264C2FED"/>
    <w:rsid w:val="27341BB1"/>
    <w:rsid w:val="2B1A31C7"/>
    <w:rsid w:val="3074511C"/>
    <w:rsid w:val="32982A78"/>
    <w:rsid w:val="32D6037E"/>
    <w:rsid w:val="3541152C"/>
    <w:rsid w:val="38AD6287"/>
    <w:rsid w:val="3AC93F3B"/>
    <w:rsid w:val="41131EE8"/>
    <w:rsid w:val="449E5EEA"/>
    <w:rsid w:val="48EE1074"/>
    <w:rsid w:val="4ACC5D6F"/>
    <w:rsid w:val="54000ECC"/>
    <w:rsid w:val="57286468"/>
    <w:rsid w:val="59DA123E"/>
    <w:rsid w:val="5AB431ED"/>
    <w:rsid w:val="5BD22DC8"/>
    <w:rsid w:val="5BF93387"/>
    <w:rsid w:val="60053D4E"/>
    <w:rsid w:val="64EC2D51"/>
    <w:rsid w:val="667745F9"/>
    <w:rsid w:val="6839699D"/>
    <w:rsid w:val="6C3F1287"/>
    <w:rsid w:val="6D5E26DE"/>
    <w:rsid w:val="74CD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黑体"/>
      <w:sz w:val="18"/>
      <w:szCs w:val="18"/>
    </w:rPr>
  </w:style>
  <w:style w:type="character" w:customStyle="1" w:styleId="7">
    <w:name w:val="页眉 Char"/>
    <w:basedOn w:val="5"/>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130</Words>
  <Characters>746</Characters>
  <Lines>6</Lines>
  <Paragraphs>1</Paragraphs>
  <TotalTime>2</TotalTime>
  <ScaleCrop>false</ScaleCrop>
  <LinksUpToDate>false</LinksUpToDate>
  <CharactersWithSpaces>875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2019-09-05T02:37:00Z</dcterms:created>
  <dc:creator>Administrator</dc:creator>
  <cp:lastModifiedBy>Aimeedaddy</cp:lastModifiedBy>
  <dcterms:modified xsi:type="dcterms:W3CDTF">2019-09-07T02:59:49Z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