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8F" w:rsidRDefault="00FD1F8F">
      <w:pPr>
        <w:spacing w:line="300" w:lineRule="auto"/>
        <w:ind w:firstLineChars="200" w:firstLine="883"/>
        <w:jc w:val="center"/>
        <w:rPr>
          <w:rFonts w:asciiTheme="majorEastAsia" w:eastAsiaTheme="majorEastAsia" w:hAnsiTheme="majorEastAsia" w:cstheme="majorEastAsia"/>
          <w:b/>
          <w:sz w:val="44"/>
          <w:szCs w:val="44"/>
        </w:rPr>
      </w:pPr>
    </w:p>
    <w:p w:rsidR="00FD1F8F" w:rsidRDefault="000D2652">
      <w:pPr>
        <w:spacing w:line="300" w:lineRule="auto"/>
        <w:ind w:firstLineChars="200" w:firstLine="723"/>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呼和浩特市职业学院2019年度预算公开报告</w:t>
      </w:r>
    </w:p>
    <w:p w:rsidR="00FD1F8F" w:rsidRDefault="00FD1F8F">
      <w:pPr>
        <w:spacing w:line="300" w:lineRule="auto"/>
        <w:ind w:firstLineChars="200" w:firstLine="723"/>
        <w:jc w:val="center"/>
        <w:rPr>
          <w:rFonts w:asciiTheme="majorEastAsia" w:eastAsiaTheme="majorEastAsia" w:hAnsiTheme="majorEastAsia" w:cstheme="majorEastAsia"/>
          <w:b/>
          <w:sz w:val="36"/>
          <w:szCs w:val="36"/>
        </w:rPr>
      </w:pPr>
    </w:p>
    <w:p w:rsidR="00FD1F8F" w:rsidRDefault="000D2652">
      <w:pPr>
        <w:spacing w:line="300" w:lineRule="auto"/>
        <w:ind w:firstLineChars="200" w:firstLine="562"/>
        <w:jc w:val="cente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目录</w:t>
      </w:r>
    </w:p>
    <w:p w:rsidR="00FD1F8F" w:rsidRDefault="000D2652">
      <w:pPr>
        <w:spacing w:line="300" w:lineRule="auto"/>
        <w:ind w:firstLineChars="200" w:firstLine="562"/>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第一部分部门基本情况</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一、部门职能</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二、机构设置及单位构成情况</w:t>
      </w:r>
    </w:p>
    <w:p w:rsidR="00FD1F8F" w:rsidRDefault="000D2652">
      <w:pPr>
        <w:spacing w:line="300" w:lineRule="auto"/>
        <w:ind w:firstLineChars="200" w:firstLine="562"/>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第二部分2019年度部门预算情况说明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一、关于2019年度算收支增减变化情况说明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二、关于2019年度算安情况说明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（一）关于部门收支总体预算情况说明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（二）关于部门收入总体预算情况说明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（三）关于部门支出总体预算情况说明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（四）关于财政款收支总体预算情况说明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（五）关于一般公共预算财政拨款支出预算情况说明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（六）关于一般公共预算财政拨款基本支出预算情况说明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（七）关于政府性基全预算支出情况说明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（八）关于财政拨款“三公”经费支出预算情况说明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1、“三公”经费财政拨款支出预算总体情况说明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2、“三公”经费较上年增减变化原因等说明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3、“三公”经费按“公务接待费”、“公出国（境）费”、“公务用</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lastRenderedPageBreak/>
        <w:t>车购置费”、“公务用车运行与护费”详细说明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三、其他重要事项的情况说明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（一）机关运行经费安排情况说明</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（二）政府采购安排情况</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（三）国有资产占用情况</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（四）重点项目预算绩效管理工作开展情况</w:t>
      </w:r>
    </w:p>
    <w:p w:rsidR="00FD1F8F" w:rsidRDefault="000D2652">
      <w:pPr>
        <w:spacing w:line="300" w:lineRule="auto"/>
        <w:ind w:firstLineChars="200" w:firstLine="562"/>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第三部分名词解释</w:t>
      </w:r>
    </w:p>
    <w:p w:rsidR="00FD1F8F" w:rsidRDefault="000D2652">
      <w:pPr>
        <w:spacing w:line="300" w:lineRule="auto"/>
        <w:ind w:firstLineChars="200" w:firstLine="562"/>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第四部分预算公开联系方式及信息反馈渠道</w:t>
      </w:r>
    </w:p>
    <w:p w:rsidR="00FD1F8F" w:rsidRDefault="000D2652">
      <w:pPr>
        <w:spacing w:line="300" w:lineRule="auto"/>
        <w:ind w:firstLineChars="200" w:firstLine="562"/>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第五部分部门预算公开表</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一、部门收支预算总表</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二、部门算收入总表</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三、部门预算支出总表</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四、财政款收支预算总表</w:t>
      </w:r>
    </w:p>
    <w:p w:rsidR="00FD1F8F" w:rsidRDefault="000D2652">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五、一般公共预算财政拨款支出表</w:t>
      </w:r>
    </w:p>
    <w:p w:rsidR="00FD1F8F" w:rsidRDefault="000D2652">
      <w:pPr>
        <w:spacing w:line="300" w:lineRule="auto"/>
        <w:ind w:firstLineChars="200" w:firstLine="560"/>
        <w:jc w:val="left"/>
        <w:rPr>
          <w:rFonts w:asciiTheme="majorEastAsia" w:eastAsiaTheme="majorEastAsia" w:hAnsiTheme="majorEastAsia" w:cstheme="majorEastAsia" w:hint="eastAsia"/>
          <w:bCs/>
          <w:sz w:val="28"/>
          <w:szCs w:val="28"/>
        </w:rPr>
      </w:pPr>
      <w:r>
        <w:rPr>
          <w:rFonts w:asciiTheme="majorEastAsia" w:eastAsiaTheme="majorEastAsia" w:hAnsiTheme="majorEastAsia" w:cstheme="majorEastAsia" w:hint="eastAsia"/>
          <w:bCs/>
          <w:sz w:val="28"/>
          <w:szCs w:val="28"/>
        </w:rPr>
        <w:t>六、一般公共预算财政拨款基本支出预算表</w:t>
      </w:r>
    </w:p>
    <w:p w:rsidR="003D1CB6" w:rsidRPr="003D1CB6" w:rsidRDefault="003D1CB6">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七、按政府经济科目财政拨款基本支出 预算总表</w:t>
      </w:r>
    </w:p>
    <w:p w:rsidR="00FD1F8F" w:rsidRDefault="003D1CB6">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八</w:t>
      </w:r>
      <w:r w:rsidR="000D2652">
        <w:rPr>
          <w:rFonts w:asciiTheme="majorEastAsia" w:eastAsiaTheme="majorEastAsia" w:hAnsiTheme="majorEastAsia" w:cstheme="majorEastAsia" w:hint="eastAsia"/>
          <w:bCs/>
          <w:sz w:val="28"/>
          <w:szCs w:val="28"/>
        </w:rPr>
        <w:t>、政府性基金预算支出表</w:t>
      </w:r>
    </w:p>
    <w:p w:rsidR="00FD1F8F" w:rsidRDefault="003D1CB6">
      <w:pPr>
        <w:spacing w:line="300" w:lineRule="auto"/>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九</w:t>
      </w:r>
      <w:r w:rsidR="000D2652">
        <w:rPr>
          <w:rFonts w:asciiTheme="majorEastAsia" w:eastAsiaTheme="majorEastAsia" w:hAnsiTheme="majorEastAsia" w:cstheme="majorEastAsia" w:hint="eastAsia"/>
          <w:bCs/>
          <w:sz w:val="28"/>
          <w:szCs w:val="28"/>
        </w:rPr>
        <w:t>、财政拨款“三公”经费支出预算表</w:t>
      </w:r>
    </w:p>
    <w:p w:rsidR="00FD1F8F" w:rsidRDefault="00FD1F8F">
      <w:pPr>
        <w:spacing w:line="300" w:lineRule="auto"/>
        <w:ind w:firstLineChars="200" w:firstLine="883"/>
        <w:jc w:val="center"/>
        <w:rPr>
          <w:rFonts w:asciiTheme="majorEastAsia" w:eastAsiaTheme="majorEastAsia" w:hAnsiTheme="majorEastAsia" w:cstheme="majorEastAsia"/>
          <w:b/>
          <w:sz w:val="44"/>
          <w:szCs w:val="44"/>
        </w:rPr>
      </w:pPr>
    </w:p>
    <w:p w:rsidR="00FD1F8F" w:rsidRDefault="00FD1F8F">
      <w:pPr>
        <w:spacing w:line="300" w:lineRule="auto"/>
        <w:ind w:firstLineChars="200" w:firstLine="883"/>
        <w:jc w:val="center"/>
        <w:rPr>
          <w:rFonts w:asciiTheme="majorEastAsia" w:eastAsiaTheme="majorEastAsia" w:hAnsiTheme="majorEastAsia" w:cstheme="majorEastAsia"/>
          <w:b/>
          <w:sz w:val="44"/>
          <w:szCs w:val="44"/>
        </w:rPr>
      </w:pPr>
    </w:p>
    <w:p w:rsidR="00FD1F8F" w:rsidRDefault="00FD1F8F">
      <w:pPr>
        <w:spacing w:line="300" w:lineRule="auto"/>
        <w:ind w:firstLineChars="200" w:firstLine="883"/>
        <w:jc w:val="center"/>
        <w:rPr>
          <w:rFonts w:asciiTheme="majorEastAsia" w:eastAsiaTheme="majorEastAsia" w:hAnsiTheme="majorEastAsia" w:cstheme="majorEastAsia"/>
          <w:b/>
          <w:sz w:val="44"/>
          <w:szCs w:val="44"/>
        </w:rPr>
      </w:pPr>
    </w:p>
    <w:p w:rsidR="00FD1F8F" w:rsidRDefault="00FD1F8F">
      <w:pPr>
        <w:spacing w:line="300" w:lineRule="auto"/>
        <w:ind w:firstLineChars="200" w:firstLine="883"/>
        <w:jc w:val="center"/>
        <w:rPr>
          <w:rFonts w:asciiTheme="majorEastAsia" w:eastAsiaTheme="majorEastAsia" w:hAnsiTheme="majorEastAsia" w:cstheme="majorEastAsia"/>
          <w:b/>
          <w:sz w:val="44"/>
          <w:szCs w:val="44"/>
        </w:rPr>
      </w:pPr>
    </w:p>
    <w:p w:rsidR="00FD1F8F" w:rsidRDefault="00FD1F8F">
      <w:pPr>
        <w:spacing w:line="300" w:lineRule="auto"/>
        <w:ind w:firstLineChars="200" w:firstLine="883"/>
        <w:jc w:val="center"/>
        <w:rPr>
          <w:rFonts w:asciiTheme="majorEastAsia" w:eastAsiaTheme="majorEastAsia" w:hAnsiTheme="majorEastAsia" w:cstheme="majorEastAsia"/>
          <w:b/>
          <w:sz w:val="44"/>
          <w:szCs w:val="44"/>
        </w:rPr>
      </w:pPr>
    </w:p>
    <w:p w:rsidR="00FD1F8F" w:rsidRDefault="00FD1F8F">
      <w:pPr>
        <w:spacing w:line="300" w:lineRule="auto"/>
        <w:ind w:firstLineChars="200" w:firstLine="883"/>
        <w:jc w:val="center"/>
        <w:rPr>
          <w:rFonts w:asciiTheme="majorEastAsia" w:eastAsiaTheme="majorEastAsia" w:hAnsiTheme="majorEastAsia" w:cstheme="majorEastAsia"/>
          <w:b/>
          <w:sz w:val="44"/>
          <w:szCs w:val="44"/>
        </w:rPr>
      </w:pPr>
    </w:p>
    <w:p w:rsidR="00FD1F8F" w:rsidRDefault="000D2652">
      <w:pPr>
        <w:spacing w:line="300" w:lineRule="auto"/>
        <w:ind w:firstLineChars="200" w:firstLine="562"/>
        <w:jc w:val="center"/>
        <w:rPr>
          <w:rFonts w:asciiTheme="minorEastAsia" w:eastAsiaTheme="minorEastAsia" w:hAnsiTheme="minorEastAsia" w:cstheme="minorEastAsia"/>
          <w:b/>
          <w:sz w:val="28"/>
          <w:szCs w:val="28"/>
        </w:rPr>
      </w:pPr>
      <w:bookmarkStart w:id="0" w:name="_GoBack"/>
      <w:bookmarkEnd w:id="0"/>
      <w:r>
        <w:rPr>
          <w:rFonts w:asciiTheme="minorEastAsia" w:eastAsiaTheme="minorEastAsia" w:hAnsiTheme="minorEastAsia" w:cstheme="minorEastAsia" w:hint="eastAsia"/>
          <w:b/>
          <w:sz w:val="28"/>
          <w:szCs w:val="28"/>
        </w:rPr>
        <w:t>第一部分部门基本情况</w:t>
      </w:r>
    </w:p>
    <w:p w:rsidR="00FD1F8F" w:rsidRDefault="000D2652">
      <w:pPr>
        <w:spacing w:line="300" w:lineRule="auto"/>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一、部门职能</w:t>
      </w:r>
    </w:p>
    <w:p w:rsidR="00FD1F8F" w:rsidRDefault="000D2652">
      <w:pPr>
        <w:pStyle w:val="a3"/>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呼和浩特职业学院位于内蒙古呼和浩特市，是2002年经内蒙古自治区人民政府批准成立的全日制综合类高等职业学院，也是呼和浩特市举办的唯一一所高等院校。主要职责：以高等职业教育为主体，成人教育、远程教育、岗位与职业培训教育等并举，综合发展的高职院校。以服务呼和浩特地区经济与社会发展为己任，培养高素质技能型实用人才。</w:t>
      </w:r>
    </w:p>
    <w:p w:rsidR="00FD1F8F" w:rsidRDefault="000D2652">
      <w:pPr>
        <w:spacing w:line="300" w:lineRule="auto"/>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二、机构设置及单位构成情况</w:t>
      </w:r>
    </w:p>
    <w:p w:rsidR="00FD1F8F" w:rsidRDefault="000D2652">
      <w:pPr>
        <w:pStyle w:val="a3"/>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部门预算由呼和浩特职业学院（本级）一家单位构成,无下属二级单位，预算公开仅包含本级预算。</w:t>
      </w:r>
    </w:p>
    <w:p w:rsidR="00FD1F8F" w:rsidRDefault="000D2652">
      <w:pPr>
        <w:spacing w:line="300" w:lineRule="auto"/>
        <w:ind w:firstLineChars="200" w:firstLine="56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第二部分2019年度部门预算情况说明</w:t>
      </w:r>
    </w:p>
    <w:p w:rsidR="00FD1F8F" w:rsidRDefault="000D2652">
      <w:pPr>
        <w:spacing w:line="300" w:lineRule="auto"/>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一、关于2019年度算收支增减变化情况说明</w:t>
      </w:r>
    </w:p>
    <w:p w:rsidR="00FD1F8F" w:rsidRDefault="000D2652">
      <w:pPr>
        <w:pStyle w:val="a3"/>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(一)收入预算</w:t>
      </w:r>
    </w:p>
    <w:p w:rsidR="00FD1F8F" w:rsidRDefault="000D2652">
      <w:pPr>
        <w:pStyle w:val="a3"/>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市财政安排我院预算收入23644.53万元。其中：一般公共预算资金市本级安排15501.15万元，纳入预算管理的教育收费8143.38万元。与2018年度预算收入21035.24万元相比，收入增加2609.29万元，增加了12.4%；其中一般公共预算资金增加了1709.91万元，纳入预算管理的教育收费增加了899.38万元。主要原因一是生均拨款标准由生均8600元调整为12000元，导致据此计算的一般</w:t>
      </w:r>
      <w:r>
        <w:rPr>
          <w:rFonts w:asciiTheme="minorEastAsia" w:eastAsiaTheme="minorEastAsia" w:hAnsiTheme="minorEastAsia" w:cstheme="minorEastAsia" w:hint="eastAsia"/>
          <w:sz w:val="28"/>
          <w:szCs w:val="28"/>
        </w:rPr>
        <w:lastRenderedPageBreak/>
        <w:t>公共预算资金增加了39.5%，共计4265.64万元；二是由于2019年退休人员全部纳入社保统筹管理，对应部门的财政拨款资金减少了2732.06万元；三是我校招生规模有所扩大，导致按生均拨款计算的一般公共预算资金增加，学生数量的增加也导致教育收费的增加。</w:t>
      </w:r>
    </w:p>
    <w:p w:rsidR="00FD1F8F" w:rsidRDefault="000D2652">
      <w:pPr>
        <w:pStyle w:val="a3"/>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（二）支出预算</w:t>
      </w:r>
    </w:p>
    <w:p w:rsidR="00FD1F8F" w:rsidRDefault="000D2652">
      <w:pPr>
        <w:pStyle w:val="a3"/>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支出预算安排23644.53万元，基本支出15572.03万元；项目支出8072.5万元。较2018年预算支出数21035.24万元增加2609.29万元，增加了12.4%。其中基本支出增加了1672.34万元，增加了12.03%，项目支出增加了13.13%。主要原因一是公用经费增加，较上年增加了1295.18万元，其中水电费安排347万元，取暖费1151万元，邮电费80万元；二是人员经费增加，安排了机关事业单位养老保险1588.22万元，职业年金缴费619.58万元；项目支出增加了936.95万元，主要是本年为改善办学条件，增加学校软硬件设施，提高教师教学水平，日常教学运行经费的投入有所增加。</w:t>
      </w:r>
    </w:p>
    <w:p w:rsidR="00FD1F8F" w:rsidRDefault="000D2652">
      <w:pPr>
        <w:spacing w:line="300" w:lineRule="auto"/>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二、关于2019年度算安排情况说明</w:t>
      </w:r>
    </w:p>
    <w:p w:rsidR="00FD1F8F" w:rsidRDefault="000D2652">
      <w:pPr>
        <w:spacing w:line="300" w:lineRule="auto"/>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（一）关于部门收支总体预算情况说明</w:t>
      </w:r>
    </w:p>
    <w:p w:rsidR="00FD1F8F" w:rsidRDefault="000D2652">
      <w:pPr>
        <w:pStyle w:val="a3"/>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本年度我院预算收入23644.53万元</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sz w:val="28"/>
          <w:szCs w:val="28"/>
        </w:rPr>
        <w:t>支出预算安排23644.53万元</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sz w:val="28"/>
          <w:szCs w:val="28"/>
        </w:rPr>
        <w:t>与2018年度预算收入21035.24万元相比，收入增加2609.29万元，增加了12.4%</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sz w:val="28"/>
          <w:szCs w:val="28"/>
        </w:rPr>
        <w:t>较2018年预算支出数21035.24万元增加2609.29万元，增加了12.4%</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sz w:val="28"/>
          <w:szCs w:val="28"/>
        </w:rPr>
        <w:t>主要原因一是生均拨款标准由生均8600元调整为12000元，导致据此计算的一般公共预算资金增加了39.5%，共计4265.64万元；二是由于2019年退休人员全部纳入社保统筹管理，</w:t>
      </w:r>
      <w:r>
        <w:rPr>
          <w:rFonts w:asciiTheme="minorEastAsia" w:eastAsiaTheme="minorEastAsia" w:hAnsiTheme="minorEastAsia" w:cstheme="minorEastAsia" w:hint="eastAsia"/>
          <w:sz w:val="28"/>
          <w:szCs w:val="28"/>
        </w:rPr>
        <w:lastRenderedPageBreak/>
        <w:t>对应部门的财政拨款资金减少了2732.06万元；三是我校招生规模有所扩大，导致按生均拨款计算的一般公共预算资金增加，学生数量的增加也导致教育收费的增加。支出方面增加主要原因一是公用经费增加，较上年增加了1295.18万元，其中水电费安排347万元，取暖费1151万元，邮电费80万元；二是人员经费增加，安排了机关事业单位养老保险1588.22万元，职业年金缴费619.58万元；项目支出增加了899.38万元，主要是本年为改善办学条件，增加学校软硬件设施，提高教师教学水平，日常教学运行经费的投入有所增加。</w:t>
      </w:r>
    </w:p>
    <w:p w:rsidR="00FD1F8F" w:rsidRDefault="000D2652">
      <w:pPr>
        <w:numPr>
          <w:ilvl w:val="0"/>
          <w:numId w:val="1"/>
        </w:num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关于部门收入总体预算情况说明</w:t>
      </w:r>
    </w:p>
    <w:p w:rsidR="00FD1F8F" w:rsidRDefault="000D2652">
      <w:pPr>
        <w:spacing w:line="30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2019年市财政安排我院预算收入23644.53万元。其中：一般公共预算资金15501.15万元，占收入总额的65.56%，与上年持平；事业收入8143.38万元，占比34.44%，与上年持平。</w:t>
      </w:r>
    </w:p>
    <w:p w:rsidR="00FD1F8F" w:rsidRDefault="000D2652">
      <w:pPr>
        <w:numPr>
          <w:ilvl w:val="0"/>
          <w:numId w:val="1"/>
        </w:num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关于部门支出总体预算情况说明</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2019年支出预算安排</w:t>
      </w:r>
      <w:r>
        <w:rPr>
          <w:rFonts w:asciiTheme="minorEastAsia" w:eastAsiaTheme="minorEastAsia" w:hAnsiTheme="minorEastAsia" w:cstheme="minorEastAsia" w:hint="eastAsia"/>
          <w:sz w:val="28"/>
          <w:szCs w:val="28"/>
        </w:rPr>
        <w:t>23644.53</w:t>
      </w:r>
      <w:r>
        <w:rPr>
          <w:rFonts w:asciiTheme="minorEastAsia" w:eastAsiaTheme="minorEastAsia" w:hAnsiTheme="minorEastAsia" w:cstheme="minorEastAsia" w:hint="eastAsia"/>
          <w:bCs/>
          <w:sz w:val="28"/>
          <w:szCs w:val="28"/>
        </w:rPr>
        <w:t>万元，其中基本支出</w:t>
      </w:r>
      <w:r>
        <w:rPr>
          <w:rFonts w:asciiTheme="minorEastAsia" w:eastAsiaTheme="minorEastAsia" w:hAnsiTheme="minorEastAsia" w:cstheme="minorEastAsia" w:hint="eastAsia"/>
          <w:sz w:val="28"/>
          <w:szCs w:val="28"/>
        </w:rPr>
        <w:t>15572.03</w:t>
      </w:r>
      <w:r>
        <w:rPr>
          <w:rFonts w:asciiTheme="minorEastAsia" w:eastAsiaTheme="minorEastAsia" w:hAnsiTheme="minorEastAsia" w:cstheme="minorEastAsia" w:hint="eastAsia"/>
          <w:bCs/>
          <w:sz w:val="28"/>
          <w:szCs w:val="28"/>
        </w:rPr>
        <w:t>万元，占支出总额的65.86%；项目支出</w:t>
      </w:r>
      <w:r>
        <w:rPr>
          <w:rFonts w:asciiTheme="minorEastAsia" w:eastAsiaTheme="minorEastAsia" w:hAnsiTheme="minorEastAsia" w:cstheme="minorEastAsia" w:hint="eastAsia"/>
          <w:sz w:val="28"/>
          <w:szCs w:val="28"/>
        </w:rPr>
        <w:t>8072.5</w:t>
      </w:r>
      <w:r>
        <w:rPr>
          <w:rFonts w:asciiTheme="minorEastAsia" w:eastAsiaTheme="minorEastAsia" w:hAnsiTheme="minorEastAsia" w:cstheme="minorEastAsia" w:hint="eastAsia"/>
          <w:bCs/>
          <w:sz w:val="28"/>
          <w:szCs w:val="28"/>
        </w:rPr>
        <w:t>万元,占比34.14%。与上年比例基本相同。</w:t>
      </w:r>
    </w:p>
    <w:p w:rsidR="00FD1F8F" w:rsidRDefault="000D2652">
      <w:pPr>
        <w:numPr>
          <w:ilvl w:val="0"/>
          <w:numId w:val="1"/>
        </w:num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关于财政拨款收支总体预算情况说明</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本部门2019年财政拨款安排收入总计</w:t>
      </w:r>
      <w:r>
        <w:rPr>
          <w:rFonts w:asciiTheme="minorEastAsia" w:eastAsiaTheme="minorEastAsia" w:hAnsiTheme="minorEastAsia" w:cstheme="minorEastAsia" w:hint="eastAsia"/>
          <w:sz w:val="28"/>
          <w:szCs w:val="28"/>
        </w:rPr>
        <w:t>15501.15</w:t>
      </w:r>
      <w:r>
        <w:rPr>
          <w:rFonts w:asciiTheme="minorEastAsia" w:eastAsiaTheme="minorEastAsia" w:hAnsiTheme="minorEastAsia" w:cstheme="minorEastAsia" w:hint="eastAsia"/>
          <w:bCs/>
          <w:sz w:val="28"/>
          <w:szCs w:val="28"/>
        </w:rPr>
        <w:t>万元，支出总计</w:t>
      </w:r>
      <w:r>
        <w:rPr>
          <w:rFonts w:asciiTheme="minorEastAsia" w:eastAsiaTheme="minorEastAsia" w:hAnsiTheme="minorEastAsia" w:cstheme="minorEastAsia" w:hint="eastAsia"/>
          <w:sz w:val="28"/>
          <w:szCs w:val="28"/>
        </w:rPr>
        <w:t>15501.15</w:t>
      </w:r>
      <w:r>
        <w:rPr>
          <w:rFonts w:asciiTheme="minorEastAsia" w:eastAsiaTheme="minorEastAsia" w:hAnsiTheme="minorEastAsia" w:cstheme="minorEastAsia" w:hint="eastAsia"/>
          <w:bCs/>
          <w:sz w:val="28"/>
          <w:szCs w:val="28"/>
        </w:rPr>
        <w:t>万元。与上年度相比，收入增加</w:t>
      </w:r>
      <w:r>
        <w:rPr>
          <w:rFonts w:asciiTheme="minorEastAsia" w:eastAsiaTheme="minorEastAsia" w:hAnsiTheme="minorEastAsia" w:cstheme="minorEastAsia" w:hint="eastAsia"/>
          <w:sz w:val="28"/>
          <w:szCs w:val="28"/>
        </w:rPr>
        <w:t>1709.91万元，增长12.4%；支出增加了1709.91万元，增长12.4%。主要原因一是</w:t>
      </w:r>
      <w:r>
        <w:rPr>
          <w:rFonts w:asciiTheme="minorEastAsia" w:eastAsiaTheme="minorEastAsia" w:hAnsiTheme="minorEastAsia" w:cstheme="minorEastAsia" w:hint="eastAsia"/>
          <w:bCs/>
          <w:sz w:val="28"/>
          <w:szCs w:val="28"/>
        </w:rPr>
        <w:t>我校招生规模有所扩大，导致按生均拨款计算的一般公共预算资金增加，二是</w:t>
      </w:r>
      <w:r>
        <w:rPr>
          <w:rFonts w:asciiTheme="minorEastAsia" w:eastAsiaTheme="minorEastAsia" w:hAnsiTheme="minorEastAsia" w:cstheme="minorEastAsia" w:hint="eastAsia"/>
          <w:sz w:val="28"/>
          <w:szCs w:val="28"/>
        </w:rPr>
        <w:t>人员经费增加，安排了机关事业单位养老保险1588.22万元，职业年金缴</w:t>
      </w:r>
      <w:r>
        <w:rPr>
          <w:rFonts w:asciiTheme="minorEastAsia" w:eastAsiaTheme="minorEastAsia" w:hAnsiTheme="minorEastAsia" w:cstheme="minorEastAsia" w:hint="eastAsia"/>
          <w:sz w:val="28"/>
          <w:szCs w:val="28"/>
        </w:rPr>
        <w:lastRenderedPageBreak/>
        <w:t>费619.58万元；三是退休人员养老保险并入社保，财政不在拨付该部分预算资金。</w:t>
      </w:r>
    </w:p>
    <w:p w:rsidR="00FD1F8F" w:rsidRDefault="000D2652">
      <w:pPr>
        <w:numPr>
          <w:ilvl w:val="0"/>
          <w:numId w:val="1"/>
        </w:num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关于一般公共预算财政拨款支出预算情况说明</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本部门2019年一般公共预算财政拨款安排支出合计</w:t>
      </w:r>
      <w:r>
        <w:rPr>
          <w:rFonts w:asciiTheme="minorEastAsia" w:eastAsiaTheme="minorEastAsia" w:hAnsiTheme="minorEastAsia" w:cstheme="minorEastAsia" w:hint="eastAsia"/>
          <w:sz w:val="28"/>
          <w:szCs w:val="28"/>
        </w:rPr>
        <w:t>15501.15</w:t>
      </w:r>
      <w:r>
        <w:rPr>
          <w:rFonts w:asciiTheme="minorEastAsia" w:eastAsiaTheme="minorEastAsia" w:hAnsiTheme="minorEastAsia" w:cstheme="minorEastAsia" w:hint="eastAsia"/>
          <w:bCs/>
          <w:sz w:val="28"/>
          <w:szCs w:val="28"/>
        </w:rPr>
        <w:t>万元，全部安排了基本支出，占比100%。</w:t>
      </w:r>
    </w:p>
    <w:p w:rsidR="00FD1F8F" w:rsidRDefault="000D2652">
      <w:pPr>
        <w:numPr>
          <w:ilvl w:val="0"/>
          <w:numId w:val="1"/>
        </w:num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关于一般公共预算财政拨款基本支出预算情况说明</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本部门2019年一般公共预算财政拨款安排支出合计15501.15万元，其中人员经费13574.64万元，</w:t>
      </w:r>
      <w:r>
        <w:rPr>
          <w:rFonts w:asciiTheme="minorEastAsia" w:eastAsiaTheme="minorEastAsia" w:hAnsiTheme="minorEastAsia" w:cstheme="minorEastAsia" w:hint="eastAsia"/>
          <w:sz w:val="28"/>
          <w:szCs w:val="28"/>
        </w:rPr>
        <w:t>主要用于工资性支出9130.24万元，社会保险支出2859.9万元，住房公积金1050.36万元，离退休费519.02万元，遗属生活补助15.12万元；公用经费1926.51万元，主要是邮电费80万元，水费87万元，电费260万元，取暖费1,151万元，工会经费154.89万元，福利费193.62 万元。基本支出较上年增加了12.4%，增加了1709.91万元，主要原因一安排了水费、电费、邮电费等公用经费共计427万元；二是取暖费安排比上年增加了788.03万元；三是人员经费正常的调整和人员增加导致工资性费用增加。</w:t>
      </w:r>
    </w:p>
    <w:p w:rsidR="00FD1F8F" w:rsidRDefault="000D2652">
      <w:pPr>
        <w:numPr>
          <w:ilvl w:val="0"/>
          <w:numId w:val="1"/>
        </w:num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关于政府性基全预算支出情况说明</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2019年度，我院无政府性基金。</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（八）关于财政拨款“三公”经费支出预算情况说明</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1、“三公”经费财政拨款支出预算总体情况说明</w:t>
      </w:r>
    </w:p>
    <w:p w:rsidR="00FD1F8F" w:rsidRDefault="000D2652">
      <w:pPr>
        <w:pStyle w:val="a3"/>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2019年“三公”经费共70.88万元，其中公务接待费用21.88万元，因公出国（境）费用10万元，公务用车购置及运行费39万元。</w:t>
      </w:r>
    </w:p>
    <w:p w:rsidR="00FD1F8F" w:rsidRDefault="000D2652">
      <w:pPr>
        <w:numPr>
          <w:ilvl w:val="0"/>
          <w:numId w:val="2"/>
        </w:num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lastRenderedPageBreak/>
        <w:t>“三公”经费较上年增减变化原因等说明</w:t>
      </w:r>
    </w:p>
    <w:p w:rsidR="00FD1F8F" w:rsidRDefault="000D2652">
      <w:pPr>
        <w:pStyle w:val="a3"/>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按照上级要求，“三公经费”原则上只减不增，我院本年度三公经费预算和上年保持一致。</w:t>
      </w:r>
    </w:p>
    <w:p w:rsidR="00FD1F8F" w:rsidRDefault="000D2652">
      <w:pPr>
        <w:numPr>
          <w:ilvl w:val="0"/>
          <w:numId w:val="2"/>
        </w:num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“三公”经费财政拨款支出预算具体情况说明</w:t>
      </w:r>
    </w:p>
    <w:p w:rsidR="00FD1F8F" w:rsidRDefault="000D2652">
      <w:pPr>
        <w:pStyle w:val="a3"/>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公务接待费用21.88万元，与上年持平。</w:t>
      </w:r>
    </w:p>
    <w:p w:rsidR="00FD1F8F" w:rsidRDefault="000D2652">
      <w:pPr>
        <w:pStyle w:val="a3"/>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因公出国（境）费用10万元，与上年持平。</w:t>
      </w:r>
    </w:p>
    <w:p w:rsidR="00FD1F8F" w:rsidRDefault="000D2652">
      <w:pPr>
        <w:pStyle w:val="a3"/>
        <w:spacing w:line="300" w:lineRule="auto"/>
        <w:ind w:firstLineChars="200"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公务用车购置及运行费--公务用车购置费无金额，本年度未采购公务用车。公务用车购置及运行费--公务用车运行费39万元，主要用于车辆运行维护支出。</w:t>
      </w:r>
      <w:r>
        <w:rPr>
          <w:rFonts w:asciiTheme="minorEastAsia" w:eastAsiaTheme="minorEastAsia" w:hAnsiTheme="minorEastAsia" w:cstheme="minorEastAsia" w:hint="eastAsia"/>
          <w:bCs/>
          <w:sz w:val="28"/>
          <w:szCs w:val="28"/>
        </w:rPr>
        <w:t>本部门共有车辆13辆，与上年一致，没有增加或减少。其中一般公务用车7辆，特种专业技术用车（机要车）1辆，其他教学用车5辆，车均运维费3万元，与上年相比无变化。无财政拨款开支的公务用车。</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三、其他重要事项的情况说明</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（一）机关运行经费安排情况说明</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我院是全额拨款事业单位，无机关运行经费。</w:t>
      </w:r>
    </w:p>
    <w:p w:rsidR="00FD1F8F" w:rsidRDefault="000D2652">
      <w:pPr>
        <w:numPr>
          <w:ilvl w:val="0"/>
          <w:numId w:val="3"/>
        </w:num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政府采购安排情况</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部门2019年度财政性资金政府采购支出总额843.8万元，其中货物类80万元，服务类763.8万元。货物类采购主要是购买办公用品，鼓粉盒、复印纸等；服务类包括物业服务750万元，印刷服务13.8万元。货物类采购预算与上年持平。服务类采购项目中，物业费比上年增加了50万元，增长率7.14%，主要是新校区比旧校区面积大，导致按此计算的物业费有所增加；印刷费较上年增加了3.8万元，增长38%，</w:t>
      </w:r>
      <w:r>
        <w:rPr>
          <w:rFonts w:asciiTheme="minorEastAsia" w:eastAsiaTheme="minorEastAsia" w:hAnsiTheme="minorEastAsia" w:cstheme="minorEastAsia" w:hint="eastAsia"/>
          <w:sz w:val="28"/>
          <w:szCs w:val="28"/>
        </w:rPr>
        <w:lastRenderedPageBreak/>
        <w:t>原因是</w:t>
      </w:r>
      <w:r w:rsidR="00416725">
        <w:rPr>
          <w:rFonts w:asciiTheme="minorEastAsia" w:eastAsiaTheme="minorEastAsia" w:hAnsiTheme="minorEastAsia" w:cstheme="minorEastAsia" w:hint="eastAsia"/>
          <w:sz w:val="28"/>
          <w:szCs w:val="28"/>
        </w:rPr>
        <w:t>2018年创新发展行动计划、骨干校建设申报国家级、自治区项目收官之年，</w:t>
      </w:r>
      <w:r>
        <w:rPr>
          <w:rFonts w:asciiTheme="minorEastAsia" w:eastAsiaTheme="minorEastAsia" w:hAnsiTheme="minorEastAsia" w:cstheme="minorEastAsia" w:hint="eastAsia"/>
          <w:sz w:val="28"/>
          <w:szCs w:val="28"/>
        </w:rPr>
        <w:t>计划印制的宣传资料、教学用资料等有所增加；其他人员类经费和日常费用类经费均不涉及政府采购。</w:t>
      </w:r>
    </w:p>
    <w:p w:rsidR="00FD1F8F" w:rsidRDefault="000D2652">
      <w:pPr>
        <w:numPr>
          <w:ilvl w:val="0"/>
          <w:numId w:val="3"/>
        </w:num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国有资产占用情况</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截至2019年1月1日，本部门共有车辆13辆，与上年一致，没有增加或减少。其中一般公务用车7辆，特种专业技术用车（机要车）1辆，其他教学用车5辆，无执法执勤用车。</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本年度截止预算公开期，我院共有50万元以上设备20套，比上年度增加了8套，主要是增加了教学设备。100万元以上设备1套，为后勤处供电系统，数量与上年相比无变化。</w:t>
      </w:r>
    </w:p>
    <w:p w:rsidR="00FD1F8F" w:rsidRDefault="000D2652">
      <w:pPr>
        <w:numPr>
          <w:ilvl w:val="0"/>
          <w:numId w:val="3"/>
        </w:num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预算绩效管理工作开展情况</w:t>
      </w:r>
    </w:p>
    <w:p w:rsidR="00FD1F8F" w:rsidRDefault="000D265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年度，我院绩效管理工作得到了校领导及党委班子的一致支持，成立了由计财处主要负责，纪检部门监督检查，各项目执行部门共同组成的绩效工作专门工作小组，负责全院18个项目的考评及监控。为保证2019年度项目绩效工作的顺利实施，校领导组织召开了专项会议，协调工作机制，部署本年度工作，明确各部门职责。</w:t>
      </w:r>
    </w:p>
    <w:p w:rsidR="00FD1F8F" w:rsidRDefault="000D265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本预算期内，我院项目支出合计8072.5万元，比上年增加了936.95万元，增加了13.13%。其中扶贫项目5万元，改善办学条件100万元，思政研经费18万元，上交联合办学机构管理费</w:t>
      </w:r>
      <w:r>
        <w:rPr>
          <w:rFonts w:asciiTheme="minorEastAsia" w:eastAsiaTheme="minorEastAsia" w:hAnsiTheme="minorEastAsia" w:cstheme="minorEastAsia" w:hint="eastAsia"/>
          <w:sz w:val="28"/>
          <w:szCs w:val="28"/>
        </w:rPr>
        <w:tab/>
        <w:t>57.80 万元，普通话测试费15万元，保密工作费5万元，党务工作费</w:t>
      </w:r>
      <w:r>
        <w:rPr>
          <w:rFonts w:asciiTheme="minorEastAsia" w:eastAsiaTheme="minorEastAsia" w:hAnsiTheme="minorEastAsia" w:cstheme="minorEastAsia" w:hint="eastAsia"/>
          <w:sz w:val="28"/>
          <w:szCs w:val="28"/>
        </w:rPr>
        <w:tab/>
        <w:t>50万元，各项科研经费43.40万元，中信银行贷款本金及利息470.14 万元，学生资助活动经费</w:t>
      </w:r>
      <w:r>
        <w:rPr>
          <w:rFonts w:asciiTheme="minorEastAsia" w:eastAsiaTheme="minorEastAsia" w:hAnsiTheme="minorEastAsia" w:cstheme="minorEastAsia" w:hint="eastAsia"/>
          <w:sz w:val="28"/>
          <w:szCs w:val="28"/>
        </w:rPr>
        <w:tab/>
        <w:t>190.6万元，外籍教师工资</w:t>
      </w:r>
      <w:r>
        <w:rPr>
          <w:rFonts w:asciiTheme="minorEastAsia" w:eastAsiaTheme="minorEastAsia" w:hAnsiTheme="minorEastAsia" w:cstheme="minorEastAsia" w:hint="eastAsia"/>
          <w:sz w:val="28"/>
          <w:szCs w:val="28"/>
        </w:rPr>
        <w:tab/>
        <w:t>72万元，日常教</w:t>
      </w:r>
      <w:r>
        <w:rPr>
          <w:rFonts w:asciiTheme="minorEastAsia" w:eastAsiaTheme="minorEastAsia" w:hAnsiTheme="minorEastAsia" w:cstheme="minorEastAsia" w:hint="eastAsia"/>
          <w:sz w:val="28"/>
          <w:szCs w:val="28"/>
        </w:rPr>
        <w:lastRenderedPageBreak/>
        <w:t>学运行经费3237.73万元，电子图书</w:t>
      </w:r>
      <w:r>
        <w:rPr>
          <w:rFonts w:asciiTheme="minorEastAsia" w:eastAsiaTheme="minorEastAsia" w:hAnsiTheme="minorEastAsia" w:cstheme="minorEastAsia" w:hint="eastAsia"/>
          <w:sz w:val="28"/>
          <w:szCs w:val="28"/>
        </w:rPr>
        <w:tab/>
        <w:t>30万元，绩效工资3,777.83万元。 绩效目标填报符合要求。</w:t>
      </w:r>
    </w:p>
    <w:p w:rsidR="00FD1F8F" w:rsidRDefault="000D2652">
      <w:pPr>
        <w:spacing w:line="300" w:lineRule="auto"/>
        <w:ind w:firstLineChars="200" w:firstLine="56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第三部分名词解释</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（一）财政拨款收入：指本年度从本级财政部门取得的财政拨款，包括一般公共预算财政拨款和政府性基金预算财政拨款。</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（二）事业收入：指事业单位开展专业业务活动及其辅助活动取得的收入；事业单位收到的财政专户实际核拨的教育收费等资金在此反映。</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（三）经营收入：指事业单位在专业业务活动及其辅助活动之外开展非独立核算经营活动取得的收入。</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w:t>
      </w:r>
      <w:r>
        <w:rPr>
          <w:rFonts w:asciiTheme="minorEastAsia" w:eastAsiaTheme="minorEastAsia" w:hAnsiTheme="minorEastAsia" w:cstheme="minorEastAsia" w:hint="eastAsia"/>
          <w:sz w:val="28"/>
          <w:szCs w:val="28"/>
        </w:rPr>
        <w:lastRenderedPageBreak/>
        <w:t>补本年度收支缺口的资金。</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（六）年初结转和结余：指单位上年结转本年使用的基本支出结转、项目支出结转和结余、经营结余。不包括事业单位净资产项下的事业基金和专用基金。</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（八）年末结转和结余：指单位结转下年的基本支出结转、项目支出结转和结余、经营结余。不包括事业单位净资产项下的事业基金和专用基金。</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（十）项目支出：指在基本支出之外为完成特定行政任务和事业发展目标所发生的支出。</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（十一）经营支出：指事业单位在专业业务活动及其辅助活动之外开展非独立核算经营活动发生的支出。</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（十二）“三公”经费：指用财政拨款安排的因公出国（境）费、</w:t>
      </w:r>
      <w:r>
        <w:rPr>
          <w:rFonts w:asciiTheme="minorEastAsia" w:eastAsiaTheme="minorEastAsia" w:hAnsiTheme="minorEastAsia" w:cstheme="minorEastAsia" w:hint="eastAsia"/>
          <w:sz w:val="28"/>
          <w:szCs w:val="28"/>
        </w:rPr>
        <w:lastRenderedPageBreak/>
        <w:t>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（十四）工资福利支出（支出经济分类科目类级）：反映单位开支的在职职工和编制外长期聘用人员的各类劳动报酬，以及为上述人员缴纳的各项社会保险费等。</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（十五）商品和服务支出（支出经济分类科目类级）：反映单位购买商品和服务的支出（不包括用于购置固定资产的支出、战略性和应急储备支出）。</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（十六）对个人和家庭的补助（支出经济分类科目类级）：反映用于对个人和家庭的补助支出。</w:t>
      </w:r>
    </w:p>
    <w:p w:rsidR="00FD1F8F" w:rsidRDefault="000D2652">
      <w:pPr>
        <w:autoSpaceDE w:val="0"/>
        <w:autoSpaceDN w:val="0"/>
        <w:spacing w:before="100" w:after="100"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（十七）其他资本性支出（支出经济分类科目类级）：反映非各</w:t>
      </w:r>
      <w:r>
        <w:rPr>
          <w:rFonts w:asciiTheme="minorEastAsia" w:eastAsiaTheme="minorEastAsia" w:hAnsiTheme="minorEastAsia" w:cstheme="minorEastAsia" w:hint="eastAsia"/>
          <w:sz w:val="28"/>
          <w:szCs w:val="28"/>
        </w:rPr>
        <w:lastRenderedPageBreak/>
        <w:t>级发展与改革部门集中安排的用于购置固定资产、战略性和应急性储备、土地和无形资产，以及构建基础设施、大型修缮和财政支持企业更新改造所发生的支出。</w:t>
      </w:r>
    </w:p>
    <w:p w:rsidR="00FD1F8F" w:rsidRDefault="000D2652">
      <w:pPr>
        <w:spacing w:line="300" w:lineRule="auto"/>
        <w:ind w:firstLineChars="200" w:firstLine="56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第四部分预算公开联系方式及信息反馈渠道</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本单位预算公开信息反馈和联系方式：</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联系人：李力章   联系电话：0471-4121555</w:t>
      </w:r>
    </w:p>
    <w:p w:rsidR="00FD1F8F" w:rsidRDefault="000D2652">
      <w:pPr>
        <w:spacing w:line="300" w:lineRule="auto"/>
        <w:ind w:firstLineChars="200" w:firstLine="56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第五部分部门预算公开表</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一、部门收支预算总表</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二、部门算收入总表</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三、部门预算支出总表</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四、财政拨款收支预算总表</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五、一般公共预算财政拨款支出表</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六、一般公共预算财政拨款基本支出预算表</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七、政府性基金预算支出表</w:t>
      </w:r>
    </w:p>
    <w:p w:rsidR="00FD1F8F" w:rsidRDefault="000D2652">
      <w:pPr>
        <w:spacing w:line="300" w:lineRule="auto"/>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八、财政拨款“三公”经费支出预算表</w:t>
      </w:r>
    </w:p>
    <w:p w:rsidR="00FD1F8F" w:rsidRDefault="00FD1F8F">
      <w:pPr>
        <w:spacing w:line="300" w:lineRule="auto"/>
        <w:ind w:firstLineChars="200" w:firstLine="560"/>
        <w:rPr>
          <w:rFonts w:asciiTheme="minorEastAsia" w:eastAsiaTheme="minorEastAsia" w:hAnsiTheme="minorEastAsia" w:cstheme="minorEastAsia"/>
          <w:sz w:val="28"/>
          <w:szCs w:val="28"/>
        </w:rPr>
      </w:pPr>
    </w:p>
    <w:p w:rsidR="00416725" w:rsidRDefault="000D2652" w:rsidP="0041672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呼和浩特职业学院</w:t>
      </w:r>
    </w:p>
    <w:p w:rsidR="00FD1F8F" w:rsidRDefault="00416725" w:rsidP="0041672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0D2652">
        <w:rPr>
          <w:rFonts w:asciiTheme="minorEastAsia" w:eastAsiaTheme="minorEastAsia" w:hAnsiTheme="minorEastAsia" w:cstheme="minorEastAsia" w:hint="eastAsia"/>
          <w:sz w:val="28"/>
          <w:szCs w:val="28"/>
        </w:rPr>
        <w:t xml:space="preserve">  2019年1月23日</w:t>
      </w:r>
    </w:p>
    <w:p w:rsidR="00FD1F8F" w:rsidRDefault="00FD1F8F">
      <w:pPr>
        <w:spacing w:line="300" w:lineRule="auto"/>
        <w:ind w:firstLineChars="200" w:firstLine="560"/>
        <w:rPr>
          <w:rFonts w:asciiTheme="minorEastAsia" w:eastAsiaTheme="minorEastAsia" w:hAnsiTheme="minorEastAsia" w:cstheme="minorEastAsia"/>
          <w:sz w:val="28"/>
          <w:szCs w:val="28"/>
        </w:rPr>
      </w:pPr>
    </w:p>
    <w:p w:rsidR="00FD1F8F" w:rsidRDefault="00FD1F8F"/>
    <w:sectPr w:rsidR="00FD1F8F" w:rsidSect="00FD1F8F">
      <w:pgSz w:w="11906" w:h="16838"/>
      <w:pgMar w:top="1702"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0C0" w:rsidRDefault="00AF50C0" w:rsidP="00416725">
      <w:r>
        <w:separator/>
      </w:r>
    </w:p>
  </w:endnote>
  <w:endnote w:type="continuationSeparator" w:id="1">
    <w:p w:rsidR="00AF50C0" w:rsidRDefault="00AF50C0" w:rsidP="00416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0C0" w:rsidRDefault="00AF50C0" w:rsidP="00416725">
      <w:r>
        <w:separator/>
      </w:r>
    </w:p>
  </w:footnote>
  <w:footnote w:type="continuationSeparator" w:id="1">
    <w:p w:rsidR="00AF50C0" w:rsidRDefault="00AF50C0" w:rsidP="00416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C2342"/>
    <w:multiLevelType w:val="singleLevel"/>
    <w:tmpl w:val="943C2342"/>
    <w:lvl w:ilvl="0">
      <w:start w:val="2"/>
      <w:numFmt w:val="decimal"/>
      <w:suff w:val="nothing"/>
      <w:lvlText w:val="%1、"/>
      <w:lvlJc w:val="left"/>
    </w:lvl>
  </w:abstractNum>
  <w:abstractNum w:abstractNumId="1">
    <w:nsid w:val="9CA29721"/>
    <w:multiLevelType w:val="singleLevel"/>
    <w:tmpl w:val="9CA29721"/>
    <w:lvl w:ilvl="0">
      <w:start w:val="2"/>
      <w:numFmt w:val="chineseCounting"/>
      <w:suff w:val="nothing"/>
      <w:lvlText w:val="（%1）"/>
      <w:lvlJc w:val="left"/>
      <w:rPr>
        <w:rFonts w:hint="eastAsia"/>
      </w:rPr>
    </w:lvl>
  </w:abstractNum>
  <w:abstractNum w:abstractNumId="2">
    <w:nsid w:val="3DFA9072"/>
    <w:multiLevelType w:val="singleLevel"/>
    <w:tmpl w:val="3DFA9072"/>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5900987"/>
    <w:rsid w:val="000D2652"/>
    <w:rsid w:val="003D1CB6"/>
    <w:rsid w:val="00416725"/>
    <w:rsid w:val="00AF50C0"/>
    <w:rsid w:val="00CA2646"/>
    <w:rsid w:val="00FD1F8F"/>
    <w:rsid w:val="02A33D84"/>
    <w:rsid w:val="058E1802"/>
    <w:rsid w:val="060D724E"/>
    <w:rsid w:val="06B54503"/>
    <w:rsid w:val="0A001235"/>
    <w:rsid w:val="0C41041F"/>
    <w:rsid w:val="0CD831E5"/>
    <w:rsid w:val="0E4C701B"/>
    <w:rsid w:val="157677A8"/>
    <w:rsid w:val="15900987"/>
    <w:rsid w:val="1A31790F"/>
    <w:rsid w:val="24E112CA"/>
    <w:rsid w:val="2504174F"/>
    <w:rsid w:val="2533388A"/>
    <w:rsid w:val="296C121A"/>
    <w:rsid w:val="2D596B41"/>
    <w:rsid w:val="2F9824E4"/>
    <w:rsid w:val="2FB72C55"/>
    <w:rsid w:val="31237ABB"/>
    <w:rsid w:val="31A12BD4"/>
    <w:rsid w:val="32153C0F"/>
    <w:rsid w:val="32B53545"/>
    <w:rsid w:val="374C76DC"/>
    <w:rsid w:val="3A8D5E27"/>
    <w:rsid w:val="3D922107"/>
    <w:rsid w:val="3DEE0868"/>
    <w:rsid w:val="432850AE"/>
    <w:rsid w:val="442061BB"/>
    <w:rsid w:val="48A2644C"/>
    <w:rsid w:val="48AC4B05"/>
    <w:rsid w:val="49082511"/>
    <w:rsid w:val="4BD5755C"/>
    <w:rsid w:val="4F74156B"/>
    <w:rsid w:val="55BA3127"/>
    <w:rsid w:val="5634115C"/>
    <w:rsid w:val="56522F2C"/>
    <w:rsid w:val="57723213"/>
    <w:rsid w:val="57990394"/>
    <w:rsid w:val="613C7532"/>
    <w:rsid w:val="68C65742"/>
    <w:rsid w:val="6CCB552E"/>
    <w:rsid w:val="6D522A67"/>
    <w:rsid w:val="6D535020"/>
    <w:rsid w:val="6DEB7177"/>
    <w:rsid w:val="6EF34ACB"/>
    <w:rsid w:val="75E445C3"/>
    <w:rsid w:val="7A1507D1"/>
    <w:rsid w:val="7CA10502"/>
    <w:rsid w:val="7DE20B61"/>
    <w:rsid w:val="7F5607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F8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FD1F8F"/>
    <w:rPr>
      <w:rFonts w:ascii="宋体" w:hAnsi="Courier New" w:cs="Courier New"/>
      <w:szCs w:val="21"/>
    </w:rPr>
  </w:style>
  <w:style w:type="paragraph" w:styleId="a4">
    <w:name w:val="header"/>
    <w:basedOn w:val="a"/>
    <w:link w:val="Char"/>
    <w:rsid w:val="004167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16725"/>
    <w:rPr>
      <w:rFonts w:ascii="Times New Roman" w:hAnsi="Times New Roman"/>
      <w:kern w:val="2"/>
      <w:sz w:val="18"/>
      <w:szCs w:val="18"/>
    </w:rPr>
  </w:style>
  <w:style w:type="paragraph" w:styleId="a5">
    <w:name w:val="footer"/>
    <w:basedOn w:val="a"/>
    <w:link w:val="Char0"/>
    <w:rsid w:val="00416725"/>
    <w:pPr>
      <w:tabs>
        <w:tab w:val="center" w:pos="4153"/>
        <w:tab w:val="right" w:pos="8306"/>
      </w:tabs>
      <w:snapToGrid w:val="0"/>
      <w:jc w:val="left"/>
    </w:pPr>
    <w:rPr>
      <w:sz w:val="18"/>
      <w:szCs w:val="18"/>
    </w:rPr>
  </w:style>
  <w:style w:type="character" w:customStyle="1" w:styleId="Char0">
    <w:name w:val="页脚 Char"/>
    <w:basedOn w:val="a0"/>
    <w:link w:val="a5"/>
    <w:rsid w:val="0041672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21DA43-F323-4BA8-8315-BE811F877C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46</TotalTime>
  <Pages>12</Pages>
  <Words>917</Words>
  <Characters>5232</Characters>
  <Application>Microsoft Office Word</Application>
  <DocSecurity>0</DocSecurity>
  <Lines>43</Lines>
  <Paragraphs>12</Paragraphs>
  <ScaleCrop>false</ScaleCrop>
  <Company>Microsoft</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dc:creator>
  <cp:lastModifiedBy>Microsoft</cp:lastModifiedBy>
  <cp:revision>3</cp:revision>
  <dcterms:created xsi:type="dcterms:W3CDTF">2019-01-18T04:04:00Z</dcterms:created>
  <dcterms:modified xsi:type="dcterms:W3CDTF">2019-01-25T05:44:00Z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