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36"/>
          <w:szCs w:val="36"/>
        </w:rPr>
      </w:pPr>
      <w:r>
        <w:rPr>
          <w:rFonts w:hint="eastAsia"/>
          <w:sz w:val="36"/>
          <w:szCs w:val="36"/>
        </w:rPr>
        <w:t>分项报价表</w:t>
      </w:r>
    </w:p>
    <w:tbl>
      <w:tblPr>
        <w:tblStyle w:val="7"/>
        <w:tblW w:w="1257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6"/>
        <w:gridCol w:w="891"/>
        <w:gridCol w:w="10008"/>
        <w:gridCol w:w="8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6" w:type="dxa"/>
          </w:tcPr>
          <w:p>
            <w:pPr>
              <w:jc w:val="center"/>
              <w:rPr>
                <w:rFonts w:asciiTheme="minorEastAsia" w:hAnsiTheme="minorEastAsia"/>
                <w:sz w:val="28"/>
              </w:rPr>
            </w:pPr>
            <w:r>
              <w:rPr>
                <w:rFonts w:hint="eastAsia" w:asciiTheme="minorEastAsia" w:hAnsiTheme="minorEastAsia"/>
                <w:sz w:val="28"/>
              </w:rPr>
              <w:t>序号</w:t>
            </w:r>
          </w:p>
        </w:tc>
        <w:tc>
          <w:tcPr>
            <w:tcW w:w="891" w:type="dxa"/>
          </w:tcPr>
          <w:p>
            <w:pPr>
              <w:jc w:val="center"/>
              <w:rPr>
                <w:rFonts w:asciiTheme="minorEastAsia" w:hAnsiTheme="minorEastAsia"/>
                <w:sz w:val="28"/>
              </w:rPr>
            </w:pPr>
            <w:r>
              <w:rPr>
                <w:rFonts w:hint="eastAsia" w:asciiTheme="minorEastAsia" w:hAnsiTheme="minorEastAsia"/>
                <w:sz w:val="28"/>
              </w:rPr>
              <w:t>名称</w:t>
            </w:r>
          </w:p>
        </w:tc>
        <w:tc>
          <w:tcPr>
            <w:tcW w:w="10008" w:type="dxa"/>
          </w:tcPr>
          <w:p>
            <w:pPr>
              <w:jc w:val="center"/>
              <w:rPr>
                <w:rFonts w:asciiTheme="minorEastAsia" w:hAnsiTheme="minorEastAsia"/>
                <w:sz w:val="28"/>
              </w:rPr>
            </w:pPr>
            <w:r>
              <w:rPr>
                <w:rFonts w:hint="eastAsia" w:asciiTheme="minorEastAsia" w:hAnsiTheme="minorEastAsia"/>
                <w:sz w:val="28"/>
              </w:rPr>
              <w:t>技术参数</w:t>
            </w:r>
          </w:p>
        </w:tc>
        <w:tc>
          <w:tcPr>
            <w:tcW w:w="836" w:type="dxa"/>
          </w:tcPr>
          <w:p>
            <w:pPr>
              <w:jc w:val="center"/>
              <w:rPr>
                <w:rFonts w:asciiTheme="minorEastAsia" w:hAnsiTheme="minorEastAsia"/>
                <w:sz w:val="28"/>
              </w:rPr>
            </w:pPr>
            <w:r>
              <w:rPr>
                <w:rFonts w:hint="eastAsia" w:asciiTheme="minorEastAsia" w:hAnsiTheme="minorEastAsia"/>
                <w:sz w:val="28"/>
              </w:rPr>
              <w:t>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6" w:type="dxa"/>
          </w:tcPr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1</w:t>
            </w:r>
          </w:p>
        </w:tc>
        <w:tc>
          <w:tcPr>
            <w:tcW w:w="891" w:type="dxa"/>
          </w:tcPr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U</w:t>
            </w:r>
            <w:r>
              <w:rPr>
                <w:rFonts w:hint="eastAsia" w:asciiTheme="minorEastAsia" w:hAnsiTheme="minorEastAsia"/>
              </w:rPr>
              <w:t>ps电源</w:t>
            </w:r>
          </w:p>
        </w:tc>
        <w:tc>
          <w:tcPr>
            <w:tcW w:w="10008" w:type="dxa"/>
          </w:tcPr>
          <w:p>
            <w:pPr>
              <w:pStyle w:val="2"/>
              <w:numPr>
                <w:ilvl w:val="0"/>
                <w:numId w:val="0"/>
              </w:numPr>
              <w:spacing w:before="0" w:after="0" w:line="240" w:lineRule="auto"/>
              <w:jc w:val="left"/>
              <w:rPr>
                <w:rFonts w:asciiTheme="minorEastAsia" w:hAnsiTheme="minorEastAsia" w:eastAsia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lang w:eastAsia="zh-CN"/>
              </w:rPr>
              <w:t>一、电气性能指标</w:t>
            </w:r>
          </w:p>
          <w:p>
            <w:pPr>
              <w:pStyle w:val="13"/>
              <w:numPr>
                <w:ilvl w:val="0"/>
                <w:numId w:val="2"/>
              </w:numPr>
              <w:spacing w:line="360" w:lineRule="auto"/>
              <w:ind w:firstLineChars="0"/>
              <w:rPr>
                <w:rFonts w:cs="宋体" w:asciiTheme="minorEastAsia" w:hAnsiTheme="minorEastAsia" w:eastAsiaTheme="minorEastAsia"/>
                <w:szCs w:val="21"/>
              </w:rPr>
            </w:pPr>
            <w:r>
              <w:rPr>
                <w:rFonts w:cs="宋体" w:asciiTheme="minorEastAsia" w:hAnsiTheme="minorEastAsia" w:eastAsiaTheme="minorEastAsia"/>
                <w:szCs w:val="21"/>
              </w:rPr>
              <w:t>产品</w:t>
            </w:r>
            <w:r>
              <w:rPr>
                <w:rFonts w:hint="eastAsia" w:cs="宋体" w:asciiTheme="minorEastAsia" w:hAnsiTheme="minorEastAsia" w:eastAsiaTheme="minorEastAsia"/>
                <w:szCs w:val="21"/>
              </w:rPr>
              <w:t>须支</w:t>
            </w:r>
            <w:r>
              <w:rPr>
                <w:rFonts w:cs="宋体" w:asciiTheme="minorEastAsia" w:hAnsiTheme="minorEastAsia" w:eastAsiaTheme="minorEastAsia"/>
                <w:szCs w:val="21"/>
              </w:rPr>
              <w:t>持</w:t>
            </w:r>
            <w:r>
              <w:rPr>
                <w:rFonts w:hint="eastAsia" w:cs="宋体" w:asciiTheme="minorEastAsia" w:hAnsiTheme="minorEastAsia" w:eastAsiaTheme="minorEastAsia"/>
                <w:szCs w:val="21"/>
              </w:rPr>
              <w:t>不</w:t>
            </w:r>
            <w:r>
              <w:rPr>
                <w:rFonts w:cs="宋体" w:asciiTheme="minorEastAsia" w:hAnsiTheme="minorEastAsia" w:eastAsiaTheme="minorEastAsia"/>
                <w:szCs w:val="21"/>
              </w:rPr>
              <w:t>少于</w:t>
            </w:r>
            <w:r>
              <w:rPr>
                <w:rFonts w:hint="eastAsia" w:cs="宋体" w:asciiTheme="minorEastAsia" w:hAnsiTheme="minorEastAsia" w:eastAsiaTheme="minorEastAsia"/>
                <w:szCs w:val="21"/>
              </w:rPr>
              <w:t>4台</w:t>
            </w:r>
            <w:r>
              <w:rPr>
                <w:rFonts w:cs="宋体" w:asciiTheme="minorEastAsia" w:hAnsiTheme="minorEastAsia" w:eastAsiaTheme="minorEastAsia"/>
                <w:szCs w:val="21"/>
              </w:rPr>
              <w:t>的</w:t>
            </w:r>
            <w:r>
              <w:rPr>
                <w:rFonts w:hint="eastAsia" w:cs="宋体" w:asciiTheme="minorEastAsia" w:hAnsiTheme="minorEastAsia" w:eastAsiaTheme="minorEastAsia"/>
                <w:szCs w:val="21"/>
              </w:rPr>
              <w:t>直接并机方式，无</w:t>
            </w:r>
            <w:r>
              <w:rPr>
                <w:rFonts w:cs="宋体" w:asciiTheme="minorEastAsia" w:hAnsiTheme="minorEastAsia" w:eastAsiaTheme="minorEastAsia"/>
                <w:szCs w:val="21"/>
              </w:rPr>
              <w:t>须配置并机柜</w:t>
            </w:r>
            <w:r>
              <w:rPr>
                <w:rFonts w:hint="eastAsia" w:cs="宋体" w:asciiTheme="minorEastAsia" w:hAnsiTheme="minorEastAsia" w:eastAsiaTheme="minorEastAsia"/>
                <w:szCs w:val="21"/>
              </w:rPr>
              <w:t>；</w:t>
            </w:r>
          </w:p>
          <w:p>
            <w:pPr>
              <w:pStyle w:val="13"/>
              <w:numPr>
                <w:ilvl w:val="0"/>
                <w:numId w:val="2"/>
              </w:numPr>
              <w:spacing w:line="360" w:lineRule="auto"/>
              <w:ind w:firstLineChars="0"/>
              <w:rPr>
                <w:rFonts w:cs="宋体" w:asciiTheme="minorEastAsia" w:hAnsiTheme="minorEastAsia" w:eastAsiaTheme="minorEastAsia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Cs w:val="21"/>
              </w:rPr>
              <w:t>UPS 整流器：具有限流功能, 并可做手动或自动电池均充、浮充二段式充电, 使电池能快速回充；</w:t>
            </w:r>
          </w:p>
          <w:p>
            <w:pPr>
              <w:pStyle w:val="13"/>
              <w:numPr>
                <w:ilvl w:val="0"/>
                <w:numId w:val="2"/>
              </w:numPr>
              <w:spacing w:line="360" w:lineRule="auto"/>
              <w:ind w:firstLineChars="0"/>
              <w:rPr>
                <w:rFonts w:cs="宋体" w:asciiTheme="minorEastAsia" w:hAnsiTheme="minorEastAsia" w:eastAsiaTheme="minorEastAsia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Cs w:val="21"/>
              </w:rPr>
              <w:t>电池管理：UPS具备电池单体浮充电压、均充电压、</w:t>
            </w:r>
            <w:r>
              <w:rPr>
                <w:rFonts w:cs="宋体" w:asciiTheme="minorEastAsia" w:hAnsiTheme="minorEastAsia" w:eastAsiaTheme="minorEastAsia"/>
                <w:szCs w:val="21"/>
              </w:rPr>
              <w:t>放电终止电压</w:t>
            </w:r>
            <w:r>
              <w:rPr>
                <w:rFonts w:hint="eastAsia" w:cs="宋体" w:asciiTheme="minorEastAsia" w:hAnsiTheme="minorEastAsia" w:eastAsiaTheme="minorEastAsia"/>
                <w:szCs w:val="21"/>
              </w:rPr>
              <w:t>最高和最低点可设置功能；电池组最大充电电流、最大电池放电时间及最大均充时间可设置功能；并可根据设置的值实现告警；须提交产品投标检测报告</w:t>
            </w:r>
            <w:r>
              <w:rPr>
                <w:rFonts w:cs="宋体" w:asciiTheme="minorEastAsia" w:hAnsiTheme="minorEastAsia" w:eastAsiaTheme="minorEastAsia"/>
                <w:szCs w:val="21"/>
              </w:rPr>
              <w:t>或其</w:t>
            </w:r>
            <w:r>
              <w:rPr>
                <w:rFonts w:hint="eastAsia" w:cs="宋体" w:asciiTheme="minorEastAsia" w:hAnsiTheme="minorEastAsia" w:eastAsiaTheme="minorEastAsia"/>
                <w:szCs w:val="21"/>
              </w:rPr>
              <w:t>它证明</w:t>
            </w:r>
            <w:r>
              <w:rPr>
                <w:rFonts w:cs="宋体" w:asciiTheme="minorEastAsia" w:hAnsiTheme="minorEastAsia" w:eastAsiaTheme="minorEastAsia"/>
                <w:szCs w:val="21"/>
              </w:rPr>
              <w:t>材料</w:t>
            </w:r>
            <w:r>
              <w:rPr>
                <w:rFonts w:hint="eastAsia" w:cs="宋体" w:asciiTheme="minorEastAsia" w:hAnsiTheme="minorEastAsia" w:eastAsiaTheme="minorEastAsia"/>
                <w:szCs w:val="21"/>
              </w:rPr>
              <w:t>验证。</w:t>
            </w:r>
          </w:p>
          <w:p>
            <w:pPr>
              <w:pStyle w:val="13"/>
              <w:numPr>
                <w:ilvl w:val="0"/>
                <w:numId w:val="2"/>
              </w:numPr>
              <w:spacing w:line="360" w:lineRule="auto"/>
              <w:ind w:firstLineChars="0"/>
              <w:rPr>
                <w:rFonts w:cs="宋体" w:asciiTheme="minorEastAsia" w:hAnsiTheme="minorEastAsia" w:eastAsiaTheme="minorEastAsia"/>
                <w:szCs w:val="21"/>
              </w:rPr>
            </w:pPr>
            <w:r>
              <w:rPr>
                <w:rFonts w:cs="宋体" w:asciiTheme="minorEastAsia" w:hAnsiTheme="minorEastAsia" w:eastAsiaTheme="minorEastAsia"/>
                <w:szCs w:val="21"/>
              </w:rPr>
              <w:t>产品</w:t>
            </w:r>
            <w:r>
              <w:rPr>
                <w:rFonts w:hint="eastAsia" w:cs="宋体" w:asciiTheme="minorEastAsia" w:hAnsiTheme="minorEastAsia" w:eastAsiaTheme="minorEastAsia"/>
                <w:szCs w:val="21"/>
              </w:rPr>
              <w:t>架构须由功率模块单元﹑输入开关、旁路开关﹑手动旁路开关、控制单元等构成﹔完全切断输入干扰, 电池转换时间为0ms；须提交产品投标样本、彩页、手册及第三方测试报告等资料验证。</w:t>
            </w:r>
          </w:p>
          <w:p>
            <w:pPr>
              <w:pStyle w:val="13"/>
              <w:numPr>
                <w:ilvl w:val="0"/>
                <w:numId w:val="2"/>
              </w:numPr>
              <w:spacing w:line="360" w:lineRule="auto"/>
              <w:ind w:firstLineChars="0"/>
              <w:rPr>
                <w:rFonts w:cs="宋体" w:asciiTheme="minorEastAsia" w:hAnsiTheme="minorEastAsia" w:eastAsiaTheme="minorEastAsia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Cs w:val="21"/>
              </w:rPr>
              <w:t>UPS应具备蓄电池标称电源±192-240VDC可调节功能，以提高电源系统供电安全性，减少后期UPS设备维护成本，须提交产品投标样本、彩页、手册及等资料验证。旁路开关：具有自动静态旁路开关和手动维护旁路开关。自动静态旁路开关切换时不产生任何间断。旁路开关的容量应与机组额定容量相匹配，并具有较强的过载能力，自动跟踪电网频率和电压，超过额定值时自动与电网解列。</w:t>
            </w:r>
          </w:p>
          <w:p>
            <w:pPr>
              <w:pStyle w:val="13"/>
              <w:numPr>
                <w:ilvl w:val="0"/>
                <w:numId w:val="2"/>
              </w:numPr>
              <w:spacing w:line="360" w:lineRule="auto"/>
              <w:ind w:firstLineChars="0"/>
              <w:rPr>
                <w:rFonts w:cs="宋体" w:asciiTheme="minorEastAsia" w:hAnsiTheme="minorEastAsia" w:eastAsiaTheme="minorEastAsia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Cs w:val="21"/>
              </w:rPr>
              <w:t>恢复正常后自动与电网并列。转换时间要求为0ms，静态旁路具有状态控制功能,旁路故障时系统避免由逆变器向旁路的转换。</w:t>
            </w:r>
          </w:p>
          <w:p>
            <w:pPr>
              <w:pStyle w:val="13"/>
              <w:numPr>
                <w:ilvl w:val="0"/>
                <w:numId w:val="2"/>
              </w:numPr>
              <w:spacing w:line="360" w:lineRule="auto"/>
              <w:ind w:firstLineChars="0"/>
              <w:rPr>
                <w:rFonts w:cs="宋体" w:asciiTheme="minorEastAsia" w:hAnsiTheme="minorEastAsia" w:eastAsiaTheme="minorEastAsia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Cs w:val="21"/>
              </w:rPr>
              <w:t>UPS 输出可承受100%之三相不平衡负载，在负载任一相缺相下，系统可继续运转, 增加使用上之方便性。</w:t>
            </w:r>
          </w:p>
          <w:p>
            <w:pPr>
              <w:pStyle w:val="13"/>
              <w:numPr>
                <w:ilvl w:val="0"/>
                <w:numId w:val="2"/>
              </w:numPr>
              <w:spacing w:line="360" w:lineRule="auto"/>
              <w:ind w:firstLineChars="0"/>
              <w:rPr>
                <w:rFonts w:cs="宋体" w:asciiTheme="minorEastAsia" w:hAnsiTheme="minorEastAsia" w:eastAsiaTheme="minorEastAsia"/>
                <w:szCs w:val="21"/>
              </w:rPr>
            </w:pPr>
            <w:r>
              <w:rPr>
                <w:rFonts w:cs="宋体" w:asciiTheme="minorEastAsia" w:hAnsiTheme="minorEastAsia" w:eastAsiaTheme="minorEastAsia"/>
                <w:szCs w:val="21"/>
              </w:rPr>
              <w:t>产品</w:t>
            </w:r>
            <w:r>
              <w:rPr>
                <w:rFonts w:hint="eastAsia" w:cs="宋体" w:asciiTheme="minorEastAsia" w:hAnsiTheme="minorEastAsia" w:eastAsiaTheme="minorEastAsia"/>
                <w:szCs w:val="21"/>
              </w:rPr>
              <w:t>的</w:t>
            </w:r>
            <w:r>
              <w:rPr>
                <w:rFonts w:cs="宋体" w:asciiTheme="minorEastAsia" w:hAnsiTheme="minorEastAsia" w:eastAsiaTheme="minorEastAsia"/>
                <w:szCs w:val="21"/>
              </w:rPr>
              <w:t>并机总线</w:t>
            </w:r>
            <w:r>
              <w:rPr>
                <w:rFonts w:hint="eastAsia" w:cs="宋体" w:asciiTheme="minorEastAsia" w:hAnsiTheme="minorEastAsia" w:eastAsiaTheme="minorEastAsia"/>
                <w:szCs w:val="21"/>
              </w:rPr>
              <w:t>须采用</w:t>
            </w:r>
            <w:r>
              <w:rPr>
                <w:rFonts w:cs="宋体" w:asciiTheme="minorEastAsia" w:hAnsiTheme="minorEastAsia" w:eastAsiaTheme="minorEastAsia"/>
                <w:szCs w:val="21"/>
              </w:rPr>
              <w:t>双环</w:t>
            </w:r>
            <w:r>
              <w:rPr>
                <w:rFonts w:hint="eastAsia" w:cs="宋体" w:asciiTheme="minorEastAsia" w:hAnsiTheme="minorEastAsia" w:eastAsiaTheme="minorEastAsia"/>
                <w:szCs w:val="21"/>
              </w:rPr>
              <w:t>形</w:t>
            </w:r>
            <w:r>
              <w:rPr>
                <w:rFonts w:cs="宋体" w:asciiTheme="minorEastAsia" w:hAnsiTheme="minorEastAsia" w:eastAsiaTheme="minorEastAsia"/>
                <w:szCs w:val="21"/>
              </w:rPr>
              <w:t>冗余结构，避免单点环路影响系统</w:t>
            </w:r>
            <w:r>
              <w:rPr>
                <w:rFonts w:hint="eastAsia" w:cs="宋体" w:asciiTheme="minorEastAsia" w:hAnsiTheme="minorEastAsia" w:eastAsiaTheme="minorEastAsia"/>
                <w:szCs w:val="21"/>
              </w:rPr>
              <w:t>并</w:t>
            </w:r>
            <w:r>
              <w:rPr>
                <w:rFonts w:cs="宋体" w:asciiTheme="minorEastAsia" w:hAnsiTheme="minorEastAsia" w:eastAsiaTheme="minorEastAsia"/>
                <w:szCs w:val="21"/>
              </w:rPr>
              <w:t>机安全</w:t>
            </w:r>
            <w:r>
              <w:rPr>
                <w:rFonts w:hint="eastAsia" w:cs="宋体" w:asciiTheme="minorEastAsia" w:hAnsiTheme="minorEastAsia" w:eastAsiaTheme="minorEastAsia"/>
                <w:szCs w:val="21"/>
              </w:rPr>
              <w:t>。</w:t>
            </w:r>
          </w:p>
          <w:p>
            <w:pPr>
              <w:pStyle w:val="13"/>
              <w:numPr>
                <w:ilvl w:val="0"/>
                <w:numId w:val="2"/>
              </w:numPr>
              <w:spacing w:line="360" w:lineRule="auto"/>
              <w:ind w:firstLineChars="0"/>
              <w:rPr>
                <w:rFonts w:cs="宋体" w:asciiTheme="minorEastAsia" w:hAnsiTheme="minorEastAsia" w:eastAsiaTheme="minorEastAsia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Cs w:val="21"/>
              </w:rPr>
              <w:t>每台UPS 自带静态旁路和市电维修旁路。投标方须提交产品投标样本、彩页、手册等资料验证。</w:t>
            </w:r>
          </w:p>
          <w:p>
            <w:pPr>
              <w:pStyle w:val="13"/>
              <w:numPr>
                <w:ilvl w:val="0"/>
                <w:numId w:val="2"/>
              </w:numPr>
              <w:spacing w:line="360" w:lineRule="auto"/>
              <w:ind w:firstLineChars="0"/>
              <w:rPr>
                <w:rFonts w:cs="宋体" w:asciiTheme="minorEastAsia" w:hAnsiTheme="minorEastAsia" w:eastAsiaTheme="minorEastAsia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Cs w:val="21"/>
              </w:rPr>
              <w:t>由于空间问题，产品尺寸不得大于 400mm*850mm*900mm。</w:t>
            </w:r>
          </w:p>
          <w:p>
            <w:pPr>
              <w:pStyle w:val="2"/>
              <w:numPr>
                <w:ilvl w:val="0"/>
                <w:numId w:val="0"/>
              </w:numPr>
              <w:spacing w:before="0" w:after="0" w:line="240" w:lineRule="auto"/>
              <w:jc w:val="left"/>
              <w:rPr>
                <w:rFonts w:asciiTheme="minorEastAsia" w:hAnsiTheme="minorEastAsia" w:eastAsia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lang w:eastAsia="zh-CN"/>
              </w:rPr>
              <w:t>二、监控与通信系统要求</w:t>
            </w:r>
            <w:r>
              <w:rPr>
                <w:rFonts w:hint="eastAsia" w:asciiTheme="minorEastAsia" w:hAnsiTheme="minorEastAsia" w:eastAsiaTheme="minorEastAsia"/>
                <w:lang w:eastAsia="zh-CN"/>
              </w:rPr>
              <w:tab/>
            </w:r>
          </w:p>
          <w:p>
            <w:pPr>
              <w:ind w:firstLine="420"/>
              <w:rPr>
                <w:rFonts w:cs="宋体" w:asciiTheme="minorEastAsia" w:hAnsiTheme="minorEastAsia"/>
                <w:szCs w:val="21"/>
              </w:rPr>
            </w:pPr>
            <w:r>
              <w:rPr>
                <w:rFonts w:cs="宋体" w:asciiTheme="minorEastAsia" w:hAnsiTheme="minorEastAsia"/>
                <w:szCs w:val="21"/>
              </w:rPr>
              <w:t>1</w:t>
            </w:r>
            <w:r>
              <w:rPr>
                <w:rFonts w:hint="eastAsia" w:cs="宋体" w:asciiTheme="minorEastAsia" w:hAnsiTheme="minorEastAsia"/>
                <w:szCs w:val="21"/>
              </w:rPr>
              <w:t>）UPS 必</w:t>
            </w:r>
            <w:r>
              <w:rPr>
                <w:rFonts w:cs="宋体" w:asciiTheme="minorEastAsia" w:hAnsiTheme="minorEastAsia"/>
                <w:szCs w:val="21"/>
              </w:rPr>
              <w:t>须</w:t>
            </w:r>
            <w:r>
              <w:rPr>
                <w:rFonts w:hint="eastAsia" w:cs="宋体" w:asciiTheme="minorEastAsia" w:hAnsiTheme="minorEastAsia"/>
                <w:szCs w:val="21"/>
              </w:rPr>
              <w:t xml:space="preserve">为LCD 液晶加LED显示，液晶屏尺寸不小于 </w:t>
            </w:r>
            <w:r>
              <w:rPr>
                <w:rFonts w:cs="宋体" w:asciiTheme="minorEastAsia" w:hAnsiTheme="minorEastAsia"/>
                <w:szCs w:val="21"/>
              </w:rPr>
              <w:t>45.4*45.4mm</w:t>
            </w:r>
            <w:r>
              <w:rPr>
                <w:rFonts w:hint="eastAsia" w:cs="宋体" w:asciiTheme="minorEastAsia" w:hAnsiTheme="minorEastAsia"/>
                <w:szCs w:val="21"/>
              </w:rPr>
              <w:t>。显示内容至少包括：当前日期、时间、有关运行参数、及历史事件记录等。</w:t>
            </w:r>
          </w:p>
          <w:p>
            <w:pPr>
              <w:ind w:firstLine="420"/>
              <w:rPr>
                <w:rFonts w:cs="宋体" w:asciiTheme="minorEastAsia" w:hAnsiTheme="minorEastAsia"/>
                <w:szCs w:val="21"/>
              </w:rPr>
            </w:pPr>
            <w:r>
              <w:rPr>
                <w:rFonts w:cs="宋体" w:asciiTheme="minorEastAsia" w:hAnsiTheme="minorEastAsia"/>
                <w:szCs w:val="21"/>
              </w:rPr>
              <w:t>2</w:t>
            </w:r>
            <w:r>
              <w:rPr>
                <w:rFonts w:hint="eastAsia" w:cs="宋体" w:asciiTheme="minorEastAsia" w:hAnsiTheme="minorEastAsia"/>
                <w:szCs w:val="21"/>
              </w:rPr>
              <w:t>）监控系统应包括但不局限于以下保护和报警功能：</w:t>
            </w:r>
          </w:p>
          <w:p>
            <w:pPr>
              <w:numPr>
                <w:ilvl w:val="0"/>
                <w:numId w:val="3"/>
              </w:numPr>
              <w:spacing w:line="360" w:lineRule="auto"/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输入三相交流电源断电报警。</w:t>
            </w:r>
          </w:p>
          <w:p>
            <w:pPr>
              <w:numPr>
                <w:ilvl w:val="0"/>
                <w:numId w:val="3"/>
              </w:numPr>
              <w:spacing w:line="360" w:lineRule="auto"/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主电路过流保护，浪涌电流抑止保护。</w:t>
            </w:r>
          </w:p>
          <w:p>
            <w:pPr>
              <w:numPr>
                <w:ilvl w:val="0"/>
                <w:numId w:val="3"/>
              </w:numPr>
              <w:spacing w:line="360" w:lineRule="auto"/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限流、过载的快速保护。</w:t>
            </w:r>
          </w:p>
          <w:p>
            <w:pPr>
              <w:numPr>
                <w:ilvl w:val="0"/>
                <w:numId w:val="3"/>
              </w:numPr>
              <w:spacing w:line="360" w:lineRule="auto"/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过压、欠压保护。</w:t>
            </w:r>
          </w:p>
          <w:p>
            <w:pPr>
              <w:numPr>
                <w:ilvl w:val="0"/>
                <w:numId w:val="3"/>
              </w:numPr>
              <w:spacing w:line="360" w:lineRule="auto"/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故障报警和信号指示。</w:t>
            </w:r>
          </w:p>
          <w:p>
            <w:pPr>
              <w:ind w:firstLine="420"/>
              <w:rPr>
                <w:rFonts w:cs="宋体" w:asciiTheme="minorEastAsia" w:hAnsiTheme="minorEastAsia"/>
                <w:szCs w:val="21"/>
              </w:rPr>
            </w:pPr>
            <w:r>
              <w:rPr>
                <w:rFonts w:hint="eastAsia" w:cs="宋体" w:asciiTheme="minorEastAsia" w:hAnsiTheme="minorEastAsia"/>
                <w:szCs w:val="21"/>
              </w:rPr>
              <w:t>3）通信系统：系统配置标准USB/RS232/RS485 通信接口，，提供开放的通信协议及配套软件，通</w:t>
            </w:r>
            <w:r>
              <w:rPr>
                <w:rFonts w:cs="宋体" w:asciiTheme="minorEastAsia" w:hAnsiTheme="minorEastAsia"/>
                <w:szCs w:val="21"/>
              </w:rPr>
              <w:t>过机房动</w:t>
            </w:r>
            <w:r>
              <w:rPr>
                <w:rFonts w:hint="eastAsia" w:cs="宋体" w:asciiTheme="minorEastAsia" w:hAnsiTheme="minorEastAsia"/>
                <w:szCs w:val="21"/>
              </w:rPr>
              <w:t>力</w:t>
            </w:r>
            <w:r>
              <w:rPr>
                <w:rFonts w:cs="宋体" w:asciiTheme="minorEastAsia" w:hAnsiTheme="minorEastAsia"/>
                <w:szCs w:val="21"/>
              </w:rPr>
              <w:t>监控系统</w:t>
            </w:r>
            <w:r>
              <w:rPr>
                <w:rFonts w:hint="eastAsia" w:cs="宋体" w:asciiTheme="minorEastAsia" w:hAnsiTheme="minorEastAsia"/>
                <w:szCs w:val="21"/>
              </w:rPr>
              <w:t>能够方便的将UPS 的运行状态、主要运行参数。</w:t>
            </w:r>
          </w:p>
          <w:p>
            <w:pPr>
              <w:pStyle w:val="2"/>
              <w:numPr>
                <w:ilvl w:val="0"/>
                <w:numId w:val="0"/>
              </w:numPr>
              <w:spacing w:before="0" w:after="0" w:line="240" w:lineRule="auto"/>
              <w:jc w:val="left"/>
              <w:rPr>
                <w:rFonts w:asciiTheme="minorEastAsia" w:hAnsiTheme="minorEastAsia" w:eastAsia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lang w:eastAsia="zh-CN"/>
              </w:rPr>
              <w:t>三、技术参数</w:t>
            </w:r>
            <w:r>
              <w:rPr>
                <w:rFonts w:asciiTheme="minorEastAsia" w:hAnsiTheme="minorEastAsia" w:eastAsiaTheme="minorEastAsia"/>
                <w:lang w:eastAsia="zh-CN"/>
              </w:rPr>
              <w:t>要求</w:t>
            </w:r>
          </w:p>
          <w:tbl>
            <w:tblPr>
              <w:tblStyle w:val="6"/>
              <w:tblW w:w="9782" w:type="dxa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694"/>
              <w:gridCol w:w="7088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15" w:hRule="atLeast"/>
              </w:trPr>
              <w:tc>
                <w:tcPr>
                  <w:tcW w:w="2694" w:type="dxa"/>
                  <w:vAlign w:val="center"/>
                </w:tcPr>
                <w:p>
                  <w:pPr>
                    <w:jc w:val="left"/>
                    <w:rPr>
                      <w:rFonts w:asciiTheme="minorEastAsia" w:hAnsiTheme="minorEastAsia"/>
                    </w:rPr>
                  </w:pPr>
                  <w:r>
                    <w:rPr>
                      <w:rFonts w:hint="eastAsia" w:asciiTheme="minorEastAsia" w:hAnsiTheme="minorEastAsia"/>
                      <w:bCs/>
                    </w:rPr>
                    <w:t>ups容量</w:t>
                  </w:r>
                </w:p>
              </w:tc>
              <w:tc>
                <w:tcPr>
                  <w:tcW w:w="7088" w:type="dxa"/>
                  <w:vAlign w:val="center"/>
                </w:tcPr>
                <w:p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hint="eastAsia" w:asciiTheme="minorEastAsia" w:hAnsiTheme="minorEastAsia"/>
                    </w:rPr>
                    <w:t>60KVA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694" w:type="dxa"/>
                  <w:vAlign w:val="center"/>
                </w:tcPr>
                <w:p>
                  <w:pPr>
                    <w:jc w:val="left"/>
                    <w:rPr>
                      <w:rFonts w:asciiTheme="minorEastAsia" w:hAnsiTheme="minorEastAsia"/>
                    </w:rPr>
                  </w:pPr>
                  <w:r>
                    <w:rPr>
                      <w:rFonts w:hint="eastAsia" w:asciiTheme="minorEastAsia" w:hAnsiTheme="minorEastAsia"/>
                    </w:rPr>
                    <w:t>输入电压范围（Vac）</w:t>
                  </w:r>
                </w:p>
              </w:tc>
              <w:tc>
                <w:tcPr>
                  <w:tcW w:w="7088" w:type="dxa"/>
                  <w:vAlign w:val="center"/>
                </w:tcPr>
                <w:p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hint="eastAsia" w:asciiTheme="minorEastAsia" w:hAnsiTheme="minorEastAsia"/>
                    </w:rPr>
                    <w:t>285~475VAC(以产品第三方检测报告参数为准)；</w:t>
                  </w:r>
                  <w:r>
                    <w:rPr>
                      <w:rFonts w:asciiTheme="minorEastAsia" w:hAnsiTheme="minorEastAsia"/>
                    </w:rPr>
                    <w:t xml:space="preserve"> 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694" w:type="dxa"/>
                  <w:vAlign w:val="center"/>
                </w:tcPr>
                <w:p>
                  <w:pPr>
                    <w:jc w:val="left"/>
                    <w:rPr>
                      <w:rFonts w:asciiTheme="minorEastAsia" w:hAnsiTheme="minorEastAsia"/>
                    </w:rPr>
                  </w:pPr>
                  <w:r>
                    <w:rPr>
                      <w:rFonts w:hint="eastAsia" w:asciiTheme="minorEastAsia" w:hAnsiTheme="minorEastAsia"/>
                    </w:rPr>
                    <w:t>相数</w:t>
                  </w:r>
                </w:p>
              </w:tc>
              <w:tc>
                <w:tcPr>
                  <w:tcW w:w="7088" w:type="dxa"/>
                  <w:vAlign w:val="center"/>
                </w:tcPr>
                <w:p>
                  <w:pPr>
                    <w:jc w:val="left"/>
                    <w:rPr>
                      <w:rFonts w:asciiTheme="minorEastAsia" w:hAnsiTheme="minorEastAsia"/>
                    </w:rPr>
                  </w:pPr>
                  <w:r>
                    <w:rPr>
                      <w:rFonts w:hint="eastAsia" w:asciiTheme="minorEastAsia" w:hAnsiTheme="minorEastAsia"/>
                    </w:rPr>
                    <w:t>三相五线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694" w:type="dxa"/>
                  <w:vAlign w:val="center"/>
                </w:tcPr>
                <w:p>
                  <w:pPr>
                    <w:jc w:val="left"/>
                    <w:rPr>
                      <w:rFonts w:asciiTheme="minorEastAsia" w:hAnsiTheme="minorEastAsia"/>
                    </w:rPr>
                  </w:pPr>
                  <w:r>
                    <w:rPr>
                      <w:rFonts w:hint="eastAsia" w:asciiTheme="minorEastAsia" w:hAnsiTheme="minorEastAsia"/>
                    </w:rPr>
                    <w:t>输入频率范围（Hz）</w:t>
                  </w:r>
                </w:p>
              </w:tc>
              <w:tc>
                <w:tcPr>
                  <w:tcW w:w="7088" w:type="dxa"/>
                  <w:vAlign w:val="center"/>
                </w:tcPr>
                <w:p>
                  <w:pPr>
                    <w:jc w:val="left"/>
                    <w:rPr>
                      <w:rFonts w:asciiTheme="minorEastAsia" w:hAnsiTheme="minorEastAsia"/>
                    </w:rPr>
                  </w:pPr>
                  <w:r>
                    <w:rPr>
                      <w:rFonts w:hint="eastAsia" w:asciiTheme="minorEastAsia" w:hAnsiTheme="minorEastAsia"/>
                    </w:rPr>
                    <w:t>45～55/ 55～65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694" w:type="dxa"/>
                  <w:vAlign w:val="center"/>
                </w:tcPr>
                <w:p>
                  <w:pPr>
                    <w:jc w:val="left"/>
                    <w:rPr>
                      <w:rFonts w:asciiTheme="minorEastAsia" w:hAnsiTheme="minorEastAsia"/>
                    </w:rPr>
                  </w:pPr>
                  <w:r>
                    <w:rPr>
                      <w:rFonts w:hint="eastAsia" w:asciiTheme="minorEastAsia" w:hAnsiTheme="minorEastAsia"/>
                    </w:rPr>
                    <w:t>输入功率因数</w:t>
                  </w:r>
                </w:p>
              </w:tc>
              <w:tc>
                <w:tcPr>
                  <w:tcW w:w="7088" w:type="dxa"/>
                  <w:vAlign w:val="center"/>
                </w:tcPr>
                <w:p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hint="eastAsia" w:asciiTheme="minorEastAsia" w:hAnsiTheme="minorEastAsia"/>
                    </w:rPr>
                    <w:t>≥0.99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694" w:type="dxa"/>
                  <w:vAlign w:val="center"/>
                </w:tcPr>
                <w:p>
                  <w:pPr>
                    <w:jc w:val="left"/>
                    <w:rPr>
                      <w:rFonts w:asciiTheme="minorEastAsia" w:hAnsiTheme="minorEastAsia"/>
                    </w:rPr>
                  </w:pPr>
                  <w:r>
                    <w:rPr>
                      <w:rFonts w:hint="eastAsia" w:asciiTheme="minorEastAsia" w:hAnsiTheme="minorEastAsia"/>
                    </w:rPr>
                    <w:t>输出电压（Vac）</w:t>
                  </w:r>
                </w:p>
              </w:tc>
              <w:tc>
                <w:tcPr>
                  <w:tcW w:w="7088" w:type="dxa"/>
                  <w:vAlign w:val="center"/>
                </w:tcPr>
                <w:p>
                  <w:pPr>
                    <w:jc w:val="left"/>
                    <w:rPr>
                      <w:rFonts w:asciiTheme="minorEastAsia" w:hAnsiTheme="minorEastAsia"/>
                    </w:rPr>
                  </w:pPr>
                  <w:r>
                    <w:rPr>
                      <w:rFonts w:hint="eastAsia" w:asciiTheme="minorEastAsia" w:hAnsiTheme="minorEastAsia"/>
                    </w:rPr>
                    <w:t>380(或400/415)±1%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694" w:type="dxa"/>
                  <w:vAlign w:val="center"/>
                </w:tcPr>
                <w:p>
                  <w:pPr>
                    <w:jc w:val="left"/>
                    <w:rPr>
                      <w:rFonts w:asciiTheme="minorEastAsia" w:hAnsiTheme="minorEastAsia"/>
                    </w:rPr>
                  </w:pPr>
                  <w:r>
                    <w:rPr>
                      <w:rFonts w:hint="eastAsia" w:asciiTheme="minorEastAsia" w:hAnsiTheme="minorEastAsia"/>
                    </w:rPr>
                    <w:t>输入电流谐波成分</w:t>
                  </w:r>
                </w:p>
              </w:tc>
              <w:tc>
                <w:tcPr>
                  <w:tcW w:w="7088" w:type="dxa"/>
                  <w:vAlign w:val="center"/>
                </w:tcPr>
                <w:p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hint="eastAsia" w:asciiTheme="minorEastAsia" w:hAnsiTheme="minorEastAsia"/>
                    </w:rPr>
                    <w:t>≤4.5</w:t>
                  </w:r>
                  <w:r>
                    <w:rPr>
                      <w:rFonts w:asciiTheme="minorEastAsia" w:hAnsiTheme="minorEastAsia"/>
                    </w:rPr>
                    <w:t>%</w:t>
                  </w:r>
                  <w:r>
                    <w:rPr>
                      <w:rFonts w:hint="eastAsia" w:asciiTheme="minorEastAsia" w:hAnsiTheme="minorEastAsia"/>
                    </w:rPr>
                    <w:t xml:space="preserve"> (第三方检测报告为准)；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694" w:type="dxa"/>
                  <w:vAlign w:val="center"/>
                </w:tcPr>
                <w:p>
                  <w:pPr>
                    <w:jc w:val="left"/>
                    <w:rPr>
                      <w:rFonts w:asciiTheme="minorEastAsia" w:hAnsiTheme="minorEastAsia"/>
                    </w:rPr>
                  </w:pPr>
                  <w:r>
                    <w:rPr>
                      <w:rFonts w:hint="eastAsia" w:asciiTheme="minorEastAsia" w:hAnsiTheme="minorEastAsia"/>
                    </w:rPr>
                    <w:t>输出</w:t>
                  </w:r>
                  <w:r>
                    <w:rPr>
                      <w:rFonts w:asciiTheme="minorEastAsia" w:hAnsiTheme="minorEastAsia"/>
                    </w:rPr>
                    <w:t>功因</w:t>
                  </w:r>
                </w:p>
              </w:tc>
              <w:tc>
                <w:tcPr>
                  <w:tcW w:w="7088" w:type="dxa"/>
                  <w:vAlign w:val="center"/>
                </w:tcPr>
                <w:p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hint="eastAsia" w:asciiTheme="minorEastAsia" w:hAnsiTheme="minorEastAsia"/>
                    </w:rPr>
                    <w:t>≥0.9 (第三方检测报告为准)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694" w:type="dxa"/>
                  <w:vAlign w:val="center"/>
                </w:tcPr>
                <w:p>
                  <w:pPr>
                    <w:jc w:val="left"/>
                    <w:rPr>
                      <w:rFonts w:asciiTheme="minorEastAsia" w:hAnsiTheme="minorEastAsia"/>
                    </w:rPr>
                  </w:pPr>
                  <w:r>
                    <w:rPr>
                      <w:rFonts w:hint="eastAsia" w:asciiTheme="minorEastAsia" w:hAnsiTheme="minorEastAsia"/>
                    </w:rPr>
                    <w:t>切换时间（ms）</w:t>
                  </w:r>
                </w:p>
              </w:tc>
              <w:tc>
                <w:tcPr>
                  <w:tcW w:w="7088" w:type="dxa"/>
                  <w:vAlign w:val="center"/>
                </w:tcPr>
                <w:p>
                  <w:pPr>
                    <w:jc w:val="left"/>
                    <w:rPr>
                      <w:rFonts w:asciiTheme="minorEastAsia" w:hAnsiTheme="minorEastAsia"/>
                    </w:rPr>
                  </w:pPr>
                  <w:r>
                    <w:rPr>
                      <w:rFonts w:hint="eastAsia" w:asciiTheme="minorEastAsia" w:hAnsiTheme="minorEastAsia"/>
                    </w:rPr>
                    <w:t>0 (第三方检测报告为准)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694" w:type="dxa"/>
                  <w:vAlign w:val="center"/>
                </w:tcPr>
                <w:p>
                  <w:pPr>
                    <w:jc w:val="left"/>
                    <w:rPr>
                      <w:rFonts w:asciiTheme="minorEastAsia" w:hAnsiTheme="minorEastAsia"/>
                    </w:rPr>
                  </w:pPr>
                  <w:r>
                    <w:rPr>
                      <w:rFonts w:hint="eastAsia" w:asciiTheme="minorEastAsia" w:hAnsiTheme="minorEastAsia"/>
                    </w:rPr>
                    <w:t>整机效率</w:t>
                  </w:r>
                </w:p>
              </w:tc>
              <w:tc>
                <w:tcPr>
                  <w:tcW w:w="7088" w:type="dxa"/>
                  <w:vAlign w:val="center"/>
                </w:tcPr>
                <w:p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hint="eastAsia" w:asciiTheme="minorEastAsia" w:hAnsiTheme="minorEastAsia"/>
                    </w:rPr>
                    <w:t>50%负载，≥95%，100%负载，≥95% (第三方检测报告为准)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694" w:type="dxa"/>
                  <w:vAlign w:val="center"/>
                </w:tcPr>
                <w:p>
                  <w:pPr>
                    <w:jc w:val="left"/>
                    <w:rPr>
                      <w:rFonts w:asciiTheme="minorEastAsia" w:hAnsiTheme="minorEastAsia"/>
                    </w:rPr>
                  </w:pPr>
                  <w:r>
                    <w:rPr>
                      <w:rFonts w:hint="eastAsia" w:asciiTheme="minorEastAsia" w:hAnsiTheme="minorEastAsia"/>
                    </w:rPr>
                    <w:t>过载能力</w:t>
                  </w:r>
                </w:p>
              </w:tc>
              <w:tc>
                <w:tcPr>
                  <w:tcW w:w="7088" w:type="dxa"/>
                  <w:vAlign w:val="center"/>
                </w:tcPr>
                <w:p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hint="eastAsia" w:asciiTheme="minorEastAsia" w:hAnsiTheme="minorEastAsia"/>
                    </w:rPr>
                    <w:t>负载≤</w:t>
                  </w:r>
                  <w:r>
                    <w:rPr>
                      <w:rFonts w:asciiTheme="minorEastAsia" w:hAnsiTheme="minorEastAsia"/>
                    </w:rPr>
                    <w:t>110%</w:t>
                  </w:r>
                  <w:r>
                    <w:rPr>
                      <w:rFonts w:hint="eastAsia" w:asciiTheme="minorEastAsia" w:hAnsiTheme="minorEastAsia"/>
                    </w:rPr>
                    <w:t>，</w:t>
                  </w:r>
                  <w:r>
                    <w:rPr>
                      <w:rFonts w:asciiTheme="minorEastAsia" w:hAnsiTheme="minorEastAsia"/>
                    </w:rPr>
                    <w:t>60min</w:t>
                  </w:r>
                  <w:r>
                    <w:rPr>
                      <w:rFonts w:hint="eastAsia" w:asciiTheme="minorEastAsia" w:hAnsiTheme="minorEastAsia"/>
                    </w:rPr>
                    <w:t>；≤</w:t>
                  </w:r>
                  <w:r>
                    <w:rPr>
                      <w:rFonts w:asciiTheme="minorEastAsia" w:hAnsiTheme="minorEastAsia"/>
                    </w:rPr>
                    <w:t>125%</w:t>
                  </w:r>
                  <w:r>
                    <w:rPr>
                      <w:rFonts w:hint="eastAsia" w:asciiTheme="minorEastAsia" w:hAnsiTheme="minorEastAsia"/>
                    </w:rPr>
                    <w:t>，</w:t>
                  </w:r>
                  <w:r>
                    <w:rPr>
                      <w:rFonts w:asciiTheme="minorEastAsia" w:hAnsiTheme="minorEastAsia"/>
                    </w:rPr>
                    <w:t>10min</w:t>
                  </w:r>
                  <w:r>
                    <w:rPr>
                      <w:rFonts w:hint="eastAsia" w:asciiTheme="minorEastAsia" w:hAnsiTheme="minorEastAsia"/>
                    </w:rPr>
                    <w:t>；≤</w:t>
                  </w:r>
                  <w:r>
                    <w:rPr>
                      <w:rFonts w:asciiTheme="minorEastAsia" w:hAnsiTheme="minorEastAsia"/>
                    </w:rPr>
                    <w:t>150%</w:t>
                  </w:r>
                  <w:r>
                    <w:rPr>
                      <w:rFonts w:hint="eastAsia" w:asciiTheme="minorEastAsia" w:hAnsiTheme="minorEastAsia"/>
                    </w:rPr>
                    <w:t>，</w:t>
                  </w:r>
                  <w:r>
                    <w:rPr>
                      <w:rFonts w:asciiTheme="minorEastAsia" w:hAnsiTheme="minorEastAsia"/>
                    </w:rPr>
                    <w:t>1min</w:t>
                  </w:r>
                  <w:r>
                    <w:rPr>
                      <w:rFonts w:hint="eastAsia" w:asciiTheme="minorEastAsia" w:hAnsiTheme="minorEastAsia"/>
                    </w:rPr>
                    <w:t>(投标方须提交产品投标样本、彩页、手册等资料验证，招标方有权要求厂验或到货现场测试指标)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694" w:type="dxa"/>
                  <w:vAlign w:val="center"/>
                </w:tcPr>
                <w:p>
                  <w:pPr>
                    <w:jc w:val="left"/>
                    <w:rPr>
                      <w:rFonts w:asciiTheme="minorEastAsia" w:hAnsiTheme="minorEastAsia"/>
                    </w:rPr>
                  </w:pPr>
                  <w:r>
                    <w:rPr>
                      <w:rFonts w:hint="eastAsia" w:asciiTheme="minorEastAsia" w:hAnsiTheme="minorEastAsia"/>
                    </w:rPr>
                    <w:t>通信功能</w:t>
                  </w:r>
                </w:p>
              </w:tc>
              <w:tc>
                <w:tcPr>
                  <w:tcW w:w="7088" w:type="dxa"/>
                  <w:vAlign w:val="center"/>
                </w:tcPr>
                <w:p>
                  <w:pPr>
                    <w:jc w:val="left"/>
                    <w:rPr>
                      <w:rFonts w:asciiTheme="minorEastAsia" w:hAnsiTheme="minorEastAsia"/>
                    </w:rPr>
                  </w:pPr>
                  <w:r>
                    <w:rPr>
                      <w:rFonts w:hint="eastAsia" w:asciiTheme="minorEastAsia" w:hAnsiTheme="minorEastAsia"/>
                    </w:rPr>
                    <w:t>干接点、RS232、RS485、SNMP卡(可选）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694" w:type="dxa"/>
                  <w:vAlign w:val="center"/>
                </w:tcPr>
                <w:p>
                  <w:pPr>
                    <w:jc w:val="left"/>
                    <w:rPr>
                      <w:rFonts w:asciiTheme="minorEastAsia" w:hAnsiTheme="minorEastAsia"/>
                    </w:rPr>
                  </w:pPr>
                  <w:r>
                    <w:rPr>
                      <w:rFonts w:hint="eastAsia" w:asciiTheme="minorEastAsia" w:hAnsiTheme="minorEastAsia"/>
                    </w:rPr>
                    <w:t>执行标准</w:t>
                  </w:r>
                </w:p>
              </w:tc>
              <w:tc>
                <w:tcPr>
                  <w:tcW w:w="7088" w:type="dxa"/>
                  <w:vAlign w:val="center"/>
                </w:tcPr>
                <w:p>
                  <w:pPr>
                    <w:jc w:val="left"/>
                    <w:rPr>
                      <w:rFonts w:asciiTheme="minorEastAsia" w:hAnsiTheme="minorEastAsia"/>
                    </w:rPr>
                  </w:pPr>
                  <w:r>
                    <w:rPr>
                      <w:rFonts w:hint="eastAsia" w:asciiTheme="minorEastAsia" w:hAnsiTheme="minorEastAsia"/>
                    </w:rPr>
                    <w:t>YD/T1095-2008</w:t>
                  </w:r>
                </w:p>
              </w:tc>
            </w:tr>
          </w:tbl>
          <w:p>
            <w:pPr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ab/>
            </w:r>
            <w:r>
              <w:rPr>
                <w:rFonts w:hint="eastAsia" w:asciiTheme="minorEastAsia" w:hAnsiTheme="minorEastAsia"/>
              </w:rPr>
              <w:t>★备</w:t>
            </w:r>
            <w:r>
              <w:rPr>
                <w:rFonts w:asciiTheme="minorEastAsia" w:hAnsiTheme="minorEastAsia"/>
              </w:rPr>
              <w:t>注：</w:t>
            </w:r>
            <w:r>
              <w:rPr>
                <w:rFonts w:hint="eastAsia" w:asciiTheme="minorEastAsia" w:hAnsiTheme="minorEastAsia"/>
              </w:rPr>
              <w:t>技术</w:t>
            </w:r>
            <w:r>
              <w:rPr>
                <w:rFonts w:asciiTheme="minorEastAsia" w:hAnsiTheme="minorEastAsia"/>
              </w:rPr>
              <w:t>参数为最低要求，</w:t>
            </w:r>
            <w:r>
              <w:rPr>
                <w:rFonts w:hint="eastAsia" w:asciiTheme="minorEastAsia" w:hAnsiTheme="minorEastAsia"/>
              </w:rPr>
              <w:t>所</w:t>
            </w:r>
            <w:r>
              <w:rPr>
                <w:rFonts w:asciiTheme="minorEastAsia" w:hAnsiTheme="minorEastAsia"/>
              </w:rPr>
              <w:t>有投标产品</w:t>
            </w:r>
            <w:r>
              <w:rPr>
                <w:rFonts w:hint="eastAsia" w:asciiTheme="minorEastAsia" w:hAnsiTheme="minorEastAsia"/>
              </w:rPr>
              <w:t>选</w:t>
            </w:r>
            <w:r>
              <w:rPr>
                <w:rFonts w:asciiTheme="minorEastAsia" w:hAnsiTheme="minorEastAsia"/>
              </w:rPr>
              <w:t>用不得低</w:t>
            </w:r>
            <w:r>
              <w:rPr>
                <w:rFonts w:hint="eastAsia" w:asciiTheme="minorEastAsia" w:hAnsiTheme="minorEastAsia"/>
              </w:rPr>
              <w:t>于</w:t>
            </w:r>
            <w:r>
              <w:rPr>
                <w:rFonts w:asciiTheme="minorEastAsia" w:hAnsiTheme="minorEastAsia"/>
              </w:rPr>
              <w:t>表中要</w:t>
            </w:r>
            <w:r>
              <w:rPr>
                <w:rFonts w:hint="eastAsia" w:asciiTheme="minorEastAsia" w:hAnsiTheme="minorEastAsia"/>
              </w:rPr>
              <w:t>求(投标方须提交产品第三方检测报告为参考依据）。</w:t>
            </w:r>
          </w:p>
          <w:p>
            <w:pPr>
              <w:pStyle w:val="2"/>
              <w:numPr>
                <w:ilvl w:val="0"/>
                <w:numId w:val="0"/>
              </w:numPr>
              <w:spacing w:before="0" w:after="0" w:line="240" w:lineRule="auto"/>
              <w:jc w:val="left"/>
              <w:rPr>
                <w:rFonts w:asciiTheme="minorEastAsia" w:hAnsiTheme="minorEastAsia" w:eastAsiaTheme="minorEastAsia"/>
                <w:lang w:eastAsia="zh-CN"/>
              </w:rPr>
            </w:pPr>
            <w:bookmarkStart w:id="0" w:name="_Toc410403017"/>
            <w:r>
              <w:rPr>
                <w:rFonts w:hint="eastAsia" w:asciiTheme="minorEastAsia" w:hAnsiTheme="minorEastAsia" w:eastAsiaTheme="minorEastAsia"/>
                <w:lang w:eastAsia="zh-CN"/>
              </w:rPr>
              <w:t>四、系统可靠性（</w:t>
            </w:r>
            <w:r>
              <w:rPr>
                <w:rFonts w:asciiTheme="minorEastAsia" w:hAnsiTheme="minorEastAsia" w:eastAsiaTheme="minorEastAsia"/>
                <w:lang w:eastAsia="zh-CN"/>
              </w:rPr>
              <w:t>MTBF</w:t>
            </w:r>
            <w:r>
              <w:rPr>
                <w:rFonts w:hint="eastAsia" w:asciiTheme="minorEastAsia" w:hAnsiTheme="minorEastAsia" w:eastAsiaTheme="minorEastAsia"/>
                <w:lang w:eastAsia="zh-CN"/>
              </w:rPr>
              <w:t>）</w:t>
            </w:r>
            <w:bookmarkEnd w:id="0"/>
          </w:p>
          <w:p>
            <w:pPr>
              <w:tabs>
                <w:tab w:val="left" w:pos="720"/>
              </w:tabs>
              <w:ind w:firstLine="420"/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机平均无故障时间（MTBF） ≥1</w:t>
            </w:r>
            <w:r>
              <w:rPr>
                <w:rFonts w:asciiTheme="minorEastAsia" w:hAnsiTheme="minorEastAsia"/>
              </w:rPr>
              <w:t>0</w:t>
            </w:r>
            <w:r>
              <w:rPr>
                <w:rFonts w:hint="eastAsia" w:asciiTheme="minorEastAsia" w:hAnsiTheme="minorEastAsia"/>
              </w:rPr>
              <w:t>0000 h，故障平均修复时间（MTTR） ≤4小时。</w:t>
            </w:r>
          </w:p>
          <w:p>
            <w:pPr>
              <w:pStyle w:val="2"/>
              <w:numPr>
                <w:ilvl w:val="0"/>
                <w:numId w:val="0"/>
              </w:numPr>
              <w:spacing w:before="0" w:after="0" w:line="240" w:lineRule="auto"/>
              <w:jc w:val="left"/>
              <w:rPr>
                <w:rFonts w:asciiTheme="minorEastAsia" w:hAnsiTheme="minorEastAsia" w:eastAsiaTheme="minorEastAsia"/>
                <w:lang w:eastAsia="zh-CN"/>
              </w:rPr>
            </w:pPr>
            <w:bookmarkStart w:id="1" w:name="_Toc410403018"/>
            <w:r>
              <w:rPr>
                <w:rFonts w:hint="eastAsia" w:asciiTheme="minorEastAsia" w:hAnsiTheme="minorEastAsia" w:eastAsiaTheme="minorEastAsia"/>
                <w:lang w:eastAsia="zh-CN"/>
              </w:rPr>
              <w:t>五、有效使用年限要求</w:t>
            </w:r>
            <w:bookmarkEnd w:id="1"/>
          </w:p>
          <w:p>
            <w:pPr>
              <w:tabs>
                <w:tab w:val="left" w:pos="720"/>
              </w:tabs>
              <w:ind w:firstLine="420"/>
              <w:rPr>
                <w:rFonts w:hint="eastAsia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UPS系统有效的使用年限应不少于</w:t>
            </w:r>
            <w:r>
              <w:rPr>
                <w:rFonts w:hint="eastAsia" w:asciiTheme="minorEastAsia" w:hAnsiTheme="minorEastAsia"/>
                <w:u w:val="single"/>
              </w:rPr>
              <w:t>10</w:t>
            </w:r>
            <w:r>
              <w:rPr>
                <w:rFonts w:hint="eastAsia" w:asciiTheme="minorEastAsia" w:hAnsiTheme="minorEastAsia"/>
              </w:rPr>
              <w:t>年。滤波电容应在有效的使用寿命内进行更换，投标方需给出相</w:t>
            </w:r>
          </w:p>
          <w:p>
            <w:pPr>
              <w:tabs>
                <w:tab w:val="left" w:pos="720"/>
              </w:tabs>
              <w:ind w:firstLine="420"/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关建议。</w:t>
            </w:r>
          </w:p>
        </w:tc>
        <w:tc>
          <w:tcPr>
            <w:tcW w:w="836" w:type="dxa"/>
          </w:tcPr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1台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6" w:type="dxa"/>
          </w:tcPr>
          <w:p>
            <w:pPr>
              <w:jc w:val="center"/>
              <w:rPr>
                <w:rFonts w:hint="eastAsia" w:asciiTheme="minorEastAsia" w:hAnsiTheme="minorEastAsia" w:eastAsiaTheme="minorEastAsia"/>
                <w:lang w:val="en-US" w:eastAsia="zh-CN"/>
              </w:rPr>
            </w:pPr>
            <w:r>
              <w:rPr>
                <w:rFonts w:hint="eastAsia" w:asciiTheme="minorEastAsia" w:hAnsiTheme="minorEastAsia"/>
                <w:lang w:val="en-US" w:eastAsia="zh-CN"/>
              </w:rPr>
              <w:t>2</w:t>
            </w:r>
          </w:p>
        </w:tc>
        <w:tc>
          <w:tcPr>
            <w:tcW w:w="891" w:type="dxa"/>
          </w:tcPr>
          <w:p>
            <w:pPr>
              <w:jc w:val="center"/>
              <w:rPr>
                <w:rFonts w:hint="default" w:asciiTheme="minorEastAsia" w:hAnsiTheme="minorEastAsia" w:eastAsiaTheme="minorEastAsia"/>
                <w:lang w:val="en-US" w:eastAsia="zh-CN"/>
              </w:rPr>
            </w:pPr>
            <w:r>
              <w:rPr>
                <w:rFonts w:hint="eastAsia" w:asciiTheme="minorEastAsia" w:hAnsiTheme="minorEastAsia"/>
                <w:lang w:val="en-US" w:eastAsia="zh-CN"/>
              </w:rPr>
              <w:t>交换机</w:t>
            </w:r>
          </w:p>
        </w:tc>
        <w:tc>
          <w:tcPr>
            <w:tcW w:w="10008" w:type="dxa"/>
          </w:tcPr>
          <w:p>
            <w:pPr>
              <w:tabs>
                <w:tab w:val="left" w:pos="720"/>
              </w:tabs>
              <w:ind w:firstLine="420"/>
              <w:rPr>
                <w:rFonts w:hint="default" w:asciiTheme="minorEastAsia" w:hAnsiTheme="minorEastAsia" w:eastAsiaTheme="minorEastAsia"/>
                <w:lang w:val="en-US" w:eastAsia="zh-CN"/>
              </w:rPr>
            </w:pPr>
            <w:r>
              <w:rPr>
                <w:rFonts w:hint="eastAsia" w:asciiTheme="minorEastAsia" w:hAnsiTheme="minorEastAsia"/>
                <w:lang w:val="en-US" w:eastAsia="zh-CN"/>
              </w:rPr>
              <w:t>锐捷RG-S6000C-48GT4XS-E48</w:t>
            </w:r>
          </w:p>
        </w:tc>
        <w:tc>
          <w:tcPr>
            <w:tcW w:w="836" w:type="dxa"/>
          </w:tcPr>
          <w:p>
            <w:pPr>
              <w:jc w:val="center"/>
              <w:rPr>
                <w:rFonts w:hint="default" w:asciiTheme="minorEastAsia" w:hAnsiTheme="minorEastAsia" w:eastAsiaTheme="minorEastAsia"/>
                <w:lang w:val="en-US" w:eastAsia="zh-CN"/>
              </w:rPr>
            </w:pPr>
            <w:r>
              <w:rPr>
                <w:rFonts w:hint="eastAsia" w:asciiTheme="minorEastAsia" w:hAnsiTheme="minorEastAsia"/>
                <w:lang w:val="en-US" w:eastAsia="zh-CN"/>
              </w:rPr>
              <w:t>1 台</w:t>
            </w:r>
          </w:p>
        </w:tc>
      </w:tr>
    </w:tbl>
    <w:p>
      <w:bookmarkStart w:id="2" w:name="_GoBack"/>
      <w:bookmarkEnd w:id="2"/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6838" w:h="11906" w:orient="landscape"/>
      <w:pgMar w:top="1797" w:right="1134" w:bottom="3259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Book Antiqua">
    <w:altName w:val="Segoe Print"/>
    <w:panose1 w:val="02040602050305030304"/>
    <w:charset w:val="00"/>
    <w:family w:val="roman"/>
    <w:pitch w:val="default"/>
    <w:sig w:usb0="00000000" w:usb1="00000000" w:usb2="00000000" w:usb3="00000000" w:csb0="0000009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 id="0" type="#_x0000_t75" style="width:15px;height:15px" o:bullet="t">
        <v:imagedata r:id="rId1" o:title=""/>
      </v:shape>
    </w:pict>
  </w:numPicBullet>
  <w:abstractNum w:abstractNumId="0">
    <w:nsid w:val="0000001E"/>
    <w:multiLevelType w:val="multilevel"/>
    <w:tmpl w:val="0000001E"/>
    <w:lvl w:ilvl="0" w:tentative="0">
      <w:start w:val="1"/>
      <w:numFmt w:val="decimal"/>
      <w:suff w:val="nothing"/>
      <w:lvlText w:val="%1 "/>
      <w:lvlJc w:val="left"/>
      <w:pPr>
        <w:ind w:left="2978" w:firstLine="0"/>
      </w:pPr>
      <w:rPr>
        <w:rFonts w:hint="default" w:ascii="Book Antiqua" w:hAnsi="Book Antiqua" w:eastAsia="黑体" w:cs="Book Antiqua"/>
        <w:b/>
        <w:bCs/>
        <w:i w:val="0"/>
        <w:iCs w:val="0"/>
        <w:caps w:val="0"/>
        <w:strike w:val="0"/>
        <w:dstrike w:val="0"/>
        <w:vanish w:val="0"/>
        <w:color w:val="000000"/>
        <w:sz w:val="144"/>
        <w:szCs w:val="14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 w:tentative="0">
      <w:start w:val="1"/>
      <w:numFmt w:val="decimal"/>
      <w:pStyle w:val="2"/>
      <w:suff w:val="nothing"/>
      <w:lvlText w:val="%1.%2 "/>
      <w:lvlJc w:val="left"/>
      <w:pPr>
        <w:ind w:left="0" w:firstLine="0"/>
      </w:pPr>
      <w:rPr>
        <w:rFonts w:hint="default" w:ascii="Book Antiqua" w:hAnsi="Book Antiqua" w:eastAsia="黑体" w:cs="Book Antiqua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2" w:tentative="0">
      <w:start w:val="1"/>
      <w:numFmt w:val="decimal"/>
      <w:pStyle w:val="3"/>
      <w:suff w:val="nothing"/>
      <w:lvlText w:val="%1.%2.%3 "/>
      <w:lvlJc w:val="left"/>
      <w:pPr>
        <w:ind w:left="1418" w:firstLine="0"/>
      </w:pPr>
      <w:rPr>
        <w:rFonts w:hint="default" w:ascii="Book Antiqua" w:hAnsi="Book Antiqua" w:eastAsia="黑体" w:cs="Book Antiqua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kern w:val="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3" w:tentative="0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 w:ascii="Arial" w:hAnsi="Arial" w:cs="Arial"/>
        <w:b/>
        <w:bCs/>
        <w:i w:val="0"/>
        <w:iCs w:val="0"/>
        <w:caps w:val="0"/>
        <w:strike w:val="0"/>
        <w:dstrike w:val="0"/>
        <w:vanish w:val="0"/>
        <w:color w:val="000000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</w:rPr>
    </w:lvl>
    <w:lvl w:ilvl="4" w:tentative="0">
      <w:start w:val="1"/>
      <w:numFmt w:val="upperRoman"/>
      <w:suff w:val="nothing"/>
      <w:lvlText w:val="%5. "/>
      <w:lvlJc w:val="left"/>
      <w:pPr>
        <w:ind w:left="1702" w:hanging="227"/>
      </w:pPr>
      <w:rPr>
        <w:rFonts w:hint="default" w:ascii="Times New Roman" w:hAnsi="Times New Roman" w:eastAsia="黑体" w:cs="Times New Roman"/>
        <w:b/>
        <w:bCs/>
        <w:i w:val="0"/>
        <w:iCs w:val="0"/>
        <w:sz w:val="24"/>
        <w:szCs w:val="24"/>
        <w:u w:val="none"/>
      </w:rPr>
    </w:lvl>
    <w:lvl w:ilvl="5" w:tentative="0">
      <w:start w:val="1"/>
      <w:numFmt w:val="decimal"/>
      <w:lvlText w:val="%6."/>
      <w:lvlJc w:val="right"/>
      <w:pPr>
        <w:tabs>
          <w:tab w:val="left" w:pos="1294"/>
        </w:tabs>
        <w:ind w:left="1294" w:hanging="159"/>
      </w:pPr>
      <w:rPr>
        <w:rFonts w:hint="default" w:ascii="Book Antiqua" w:hAnsi="Book Antiqua" w:eastAsia="黑体" w:cs="Times New Roman"/>
        <w:b w:val="0"/>
        <w:bCs/>
        <w:i w:val="0"/>
        <w:iCs w:val="0"/>
        <w:color w:val="auto"/>
        <w:sz w:val="21"/>
        <w:szCs w:val="21"/>
      </w:rPr>
    </w:lvl>
    <w:lvl w:ilvl="6" w:tentative="0">
      <w:start w:val="1"/>
      <w:numFmt w:val="lowerLetter"/>
      <w:lvlText w:val="%7."/>
      <w:lvlJc w:val="left"/>
      <w:pPr>
        <w:tabs>
          <w:tab w:val="left" w:pos="2126"/>
        </w:tabs>
        <w:ind w:left="2126" w:hanging="425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7" w:tentative="0">
      <w:start w:val="1"/>
      <w:numFmt w:val="decimal"/>
      <w:lvlRestart w:val="1"/>
      <w:suff w:val="space"/>
      <w:lvlText w:val="图%1-%8"/>
      <w:lvlJc w:val="left"/>
      <w:pPr>
        <w:ind w:left="1701" w:firstLine="0"/>
      </w:pPr>
      <w:rPr>
        <w:rFonts w:hint="default" w:ascii="Times New Roman" w:hAnsi="Times New Roman" w:eastAsia="黑体" w:cs="Book Antiqua"/>
        <w:b w:val="0"/>
        <w:bCs/>
        <w:i w:val="0"/>
        <w:iCs w:val="0"/>
        <w:strike w:val="0"/>
        <w:dstrike w:val="0"/>
        <w:color w:val="auto"/>
        <w:sz w:val="21"/>
        <w:szCs w:val="21"/>
        <w:vertAlign w:val="baseline"/>
        <w14:shadow w14:blurRad="0" w14:dist="0" w14:dir="0" w14:sx="0" w14:sy="0" w14:kx="0" w14:ky="0" w14:algn="none">
          <w14:srgbClr w14:val="000000"/>
        </w14:shadow>
      </w:rPr>
    </w:lvl>
    <w:lvl w:ilvl="8" w:tentative="0">
      <w:start w:val="1"/>
      <w:numFmt w:val="decimal"/>
      <w:lvlRestart w:val="1"/>
      <w:suff w:val="space"/>
      <w:lvlText w:val="表%1-%9"/>
      <w:lvlJc w:val="left"/>
      <w:pPr>
        <w:ind w:left="1701" w:firstLine="0"/>
      </w:pPr>
      <w:rPr>
        <w:rFonts w:hint="default" w:ascii="Times New Roman" w:hAnsi="Times New Roman" w:eastAsia="黑体"/>
        <w:b w:val="0"/>
        <w:bCs/>
        <w:i w:val="0"/>
        <w:iCs w:val="0"/>
        <w:color w:val="auto"/>
        <w:sz w:val="21"/>
        <w:szCs w:val="21"/>
      </w:rPr>
    </w:lvl>
  </w:abstractNum>
  <w:abstractNum w:abstractNumId="1">
    <w:nsid w:val="24F338DA"/>
    <w:multiLevelType w:val="multilevel"/>
    <w:tmpl w:val="24F338DA"/>
    <w:lvl w:ilvl="0" w:tentative="0">
      <w:start w:val="1"/>
      <w:numFmt w:val="bullet"/>
      <w:lvlText w:val=""/>
      <w:lvlPicBulletId w:val="0"/>
      <w:lvlJc w:val="left"/>
      <w:pPr>
        <w:ind w:left="126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168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210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52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94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336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78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420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620" w:hanging="420"/>
      </w:pPr>
      <w:rPr>
        <w:rFonts w:hint="default" w:ascii="Wingdings" w:hAnsi="Wingdings"/>
      </w:rPr>
    </w:lvl>
  </w:abstractNum>
  <w:abstractNum w:abstractNumId="2">
    <w:nsid w:val="45686867"/>
    <w:multiLevelType w:val="multilevel"/>
    <w:tmpl w:val="45686867"/>
    <w:lvl w:ilvl="0" w:tentative="0">
      <w:start w:val="1"/>
      <w:numFmt w:val="decimal"/>
      <w:lvlText w:val="%1)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8"/>
      <w:numFmt w:val="bullet"/>
      <w:lvlText w:val="★"/>
      <w:lvlJc w:val="left"/>
      <w:pPr>
        <w:ind w:left="1896" w:hanging="636"/>
      </w:pPr>
      <w:rPr>
        <w:rFonts w:hint="eastAsia" w:ascii="宋体" w:hAnsi="宋体" w:eastAsia="宋体" w:cs="宋体"/>
      </w:r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187E"/>
    <w:rsid w:val="00007419"/>
    <w:rsid w:val="00016E8C"/>
    <w:rsid w:val="00021F4B"/>
    <w:rsid w:val="00022419"/>
    <w:rsid w:val="0002351C"/>
    <w:rsid w:val="00035281"/>
    <w:rsid w:val="00036F06"/>
    <w:rsid w:val="00045DB0"/>
    <w:rsid w:val="00065AC6"/>
    <w:rsid w:val="00071E89"/>
    <w:rsid w:val="00077743"/>
    <w:rsid w:val="000800A7"/>
    <w:rsid w:val="00091429"/>
    <w:rsid w:val="000C0762"/>
    <w:rsid w:val="000D1788"/>
    <w:rsid w:val="00107484"/>
    <w:rsid w:val="0011068A"/>
    <w:rsid w:val="00112361"/>
    <w:rsid w:val="00116BBA"/>
    <w:rsid w:val="001204A4"/>
    <w:rsid w:val="001241D1"/>
    <w:rsid w:val="0013342F"/>
    <w:rsid w:val="00146E6A"/>
    <w:rsid w:val="0017262B"/>
    <w:rsid w:val="001A1BBA"/>
    <w:rsid w:val="001A6F65"/>
    <w:rsid w:val="001B26A9"/>
    <w:rsid w:val="001B4724"/>
    <w:rsid w:val="001B5836"/>
    <w:rsid w:val="001C23B8"/>
    <w:rsid w:val="001C5225"/>
    <w:rsid w:val="001C589E"/>
    <w:rsid w:val="001C741F"/>
    <w:rsid w:val="001D1DDB"/>
    <w:rsid w:val="001E2709"/>
    <w:rsid w:val="001F38CC"/>
    <w:rsid w:val="00203D60"/>
    <w:rsid w:val="00205892"/>
    <w:rsid w:val="002170EF"/>
    <w:rsid w:val="00226273"/>
    <w:rsid w:val="00234FC3"/>
    <w:rsid w:val="00242057"/>
    <w:rsid w:val="002547A7"/>
    <w:rsid w:val="00291FD3"/>
    <w:rsid w:val="00292369"/>
    <w:rsid w:val="002A10F8"/>
    <w:rsid w:val="002A530F"/>
    <w:rsid w:val="002B14BF"/>
    <w:rsid w:val="002B3949"/>
    <w:rsid w:val="002B3DAF"/>
    <w:rsid w:val="002D1A66"/>
    <w:rsid w:val="002D6C6E"/>
    <w:rsid w:val="002E78B8"/>
    <w:rsid w:val="002F6402"/>
    <w:rsid w:val="002F70F6"/>
    <w:rsid w:val="002F73F0"/>
    <w:rsid w:val="0031320A"/>
    <w:rsid w:val="00313FA7"/>
    <w:rsid w:val="003159AC"/>
    <w:rsid w:val="00322A52"/>
    <w:rsid w:val="00340769"/>
    <w:rsid w:val="0035002A"/>
    <w:rsid w:val="003542FF"/>
    <w:rsid w:val="00357E3B"/>
    <w:rsid w:val="00363556"/>
    <w:rsid w:val="00363BEA"/>
    <w:rsid w:val="00364522"/>
    <w:rsid w:val="003675B2"/>
    <w:rsid w:val="00373DA5"/>
    <w:rsid w:val="003744B2"/>
    <w:rsid w:val="003879BC"/>
    <w:rsid w:val="003962C0"/>
    <w:rsid w:val="003A066C"/>
    <w:rsid w:val="003A1E48"/>
    <w:rsid w:val="003B2E21"/>
    <w:rsid w:val="003C0810"/>
    <w:rsid w:val="003C3B0F"/>
    <w:rsid w:val="003C6015"/>
    <w:rsid w:val="003D6E9E"/>
    <w:rsid w:val="003D72F2"/>
    <w:rsid w:val="003E72E3"/>
    <w:rsid w:val="00404BC0"/>
    <w:rsid w:val="00414496"/>
    <w:rsid w:val="00415F11"/>
    <w:rsid w:val="00416569"/>
    <w:rsid w:val="00421224"/>
    <w:rsid w:val="00426149"/>
    <w:rsid w:val="004375F1"/>
    <w:rsid w:val="00441889"/>
    <w:rsid w:val="0044759E"/>
    <w:rsid w:val="00450C15"/>
    <w:rsid w:val="004604CA"/>
    <w:rsid w:val="00462205"/>
    <w:rsid w:val="00470496"/>
    <w:rsid w:val="004839CF"/>
    <w:rsid w:val="0048773A"/>
    <w:rsid w:val="0049100C"/>
    <w:rsid w:val="00497A7C"/>
    <w:rsid w:val="004A339F"/>
    <w:rsid w:val="004A47A8"/>
    <w:rsid w:val="004C02E5"/>
    <w:rsid w:val="004C487F"/>
    <w:rsid w:val="004C5D7D"/>
    <w:rsid w:val="004D3D32"/>
    <w:rsid w:val="004D7ED5"/>
    <w:rsid w:val="004E22A2"/>
    <w:rsid w:val="004F06A3"/>
    <w:rsid w:val="004F07F5"/>
    <w:rsid w:val="004F61EF"/>
    <w:rsid w:val="005023F7"/>
    <w:rsid w:val="0050353F"/>
    <w:rsid w:val="0051146A"/>
    <w:rsid w:val="00517C1F"/>
    <w:rsid w:val="00563CC2"/>
    <w:rsid w:val="00564E34"/>
    <w:rsid w:val="005668AA"/>
    <w:rsid w:val="00570E85"/>
    <w:rsid w:val="00572C06"/>
    <w:rsid w:val="005734C8"/>
    <w:rsid w:val="00585E00"/>
    <w:rsid w:val="00594780"/>
    <w:rsid w:val="00594C1F"/>
    <w:rsid w:val="005970E0"/>
    <w:rsid w:val="005A2402"/>
    <w:rsid w:val="005B4CDC"/>
    <w:rsid w:val="005B6660"/>
    <w:rsid w:val="005C5AEE"/>
    <w:rsid w:val="005D0F2F"/>
    <w:rsid w:val="005D7036"/>
    <w:rsid w:val="005F1EB2"/>
    <w:rsid w:val="005F4339"/>
    <w:rsid w:val="00605140"/>
    <w:rsid w:val="00635337"/>
    <w:rsid w:val="0064650C"/>
    <w:rsid w:val="0064721D"/>
    <w:rsid w:val="006705A3"/>
    <w:rsid w:val="00671C67"/>
    <w:rsid w:val="006725CF"/>
    <w:rsid w:val="0068466D"/>
    <w:rsid w:val="00684B5D"/>
    <w:rsid w:val="00697952"/>
    <w:rsid w:val="006A6383"/>
    <w:rsid w:val="006A7FB3"/>
    <w:rsid w:val="006B251A"/>
    <w:rsid w:val="006B40F0"/>
    <w:rsid w:val="006B64BF"/>
    <w:rsid w:val="006C2CA5"/>
    <w:rsid w:val="006C4A41"/>
    <w:rsid w:val="006C658B"/>
    <w:rsid w:val="006D53CE"/>
    <w:rsid w:val="006F5D7E"/>
    <w:rsid w:val="00703FB8"/>
    <w:rsid w:val="007156E4"/>
    <w:rsid w:val="00715E81"/>
    <w:rsid w:val="00736FCC"/>
    <w:rsid w:val="00737150"/>
    <w:rsid w:val="00744D2F"/>
    <w:rsid w:val="0075171D"/>
    <w:rsid w:val="00752414"/>
    <w:rsid w:val="00752898"/>
    <w:rsid w:val="007647EC"/>
    <w:rsid w:val="00774A42"/>
    <w:rsid w:val="00774E7E"/>
    <w:rsid w:val="00782189"/>
    <w:rsid w:val="007A4B0E"/>
    <w:rsid w:val="007C101D"/>
    <w:rsid w:val="007C2644"/>
    <w:rsid w:val="007F207F"/>
    <w:rsid w:val="007F6C5B"/>
    <w:rsid w:val="0080331B"/>
    <w:rsid w:val="008169F0"/>
    <w:rsid w:val="008216E5"/>
    <w:rsid w:val="0082469E"/>
    <w:rsid w:val="008246A6"/>
    <w:rsid w:val="008379C7"/>
    <w:rsid w:val="0084574F"/>
    <w:rsid w:val="0084740C"/>
    <w:rsid w:val="00850E2B"/>
    <w:rsid w:val="00852F28"/>
    <w:rsid w:val="008578C8"/>
    <w:rsid w:val="0085793B"/>
    <w:rsid w:val="00861DC5"/>
    <w:rsid w:val="00870090"/>
    <w:rsid w:val="00883C76"/>
    <w:rsid w:val="008979C9"/>
    <w:rsid w:val="008A187E"/>
    <w:rsid w:val="008A2656"/>
    <w:rsid w:val="008A5EBB"/>
    <w:rsid w:val="008D454C"/>
    <w:rsid w:val="008F02C9"/>
    <w:rsid w:val="008F6081"/>
    <w:rsid w:val="00910BF3"/>
    <w:rsid w:val="009168B4"/>
    <w:rsid w:val="0091707E"/>
    <w:rsid w:val="009178E4"/>
    <w:rsid w:val="00936271"/>
    <w:rsid w:val="00941ED0"/>
    <w:rsid w:val="00946175"/>
    <w:rsid w:val="00947562"/>
    <w:rsid w:val="009616E3"/>
    <w:rsid w:val="00975DF2"/>
    <w:rsid w:val="0098352E"/>
    <w:rsid w:val="00983AA1"/>
    <w:rsid w:val="009858F7"/>
    <w:rsid w:val="00987269"/>
    <w:rsid w:val="00994CEB"/>
    <w:rsid w:val="009A0455"/>
    <w:rsid w:val="009A455E"/>
    <w:rsid w:val="009C0148"/>
    <w:rsid w:val="009C0DC1"/>
    <w:rsid w:val="009C21E8"/>
    <w:rsid w:val="009C3E71"/>
    <w:rsid w:val="009E2557"/>
    <w:rsid w:val="009E3857"/>
    <w:rsid w:val="009E5141"/>
    <w:rsid w:val="009F66F5"/>
    <w:rsid w:val="00A00DD6"/>
    <w:rsid w:val="00A055D7"/>
    <w:rsid w:val="00A06CA2"/>
    <w:rsid w:val="00A07F84"/>
    <w:rsid w:val="00A07FA0"/>
    <w:rsid w:val="00A201E3"/>
    <w:rsid w:val="00A30501"/>
    <w:rsid w:val="00A4300C"/>
    <w:rsid w:val="00A440CB"/>
    <w:rsid w:val="00A50967"/>
    <w:rsid w:val="00A560E8"/>
    <w:rsid w:val="00A600DE"/>
    <w:rsid w:val="00A611CA"/>
    <w:rsid w:val="00A703CF"/>
    <w:rsid w:val="00A7070B"/>
    <w:rsid w:val="00A71B95"/>
    <w:rsid w:val="00A723E9"/>
    <w:rsid w:val="00A729D2"/>
    <w:rsid w:val="00A74D9B"/>
    <w:rsid w:val="00A861CB"/>
    <w:rsid w:val="00A91888"/>
    <w:rsid w:val="00A94FE8"/>
    <w:rsid w:val="00AB5452"/>
    <w:rsid w:val="00AC40A3"/>
    <w:rsid w:val="00AD225A"/>
    <w:rsid w:val="00AD2D5F"/>
    <w:rsid w:val="00AD7391"/>
    <w:rsid w:val="00AE7F70"/>
    <w:rsid w:val="00B017D8"/>
    <w:rsid w:val="00B06EC2"/>
    <w:rsid w:val="00B07221"/>
    <w:rsid w:val="00B128BF"/>
    <w:rsid w:val="00B21E96"/>
    <w:rsid w:val="00B270AC"/>
    <w:rsid w:val="00B350FF"/>
    <w:rsid w:val="00B40E49"/>
    <w:rsid w:val="00B41F2A"/>
    <w:rsid w:val="00B52A76"/>
    <w:rsid w:val="00B540C6"/>
    <w:rsid w:val="00B72147"/>
    <w:rsid w:val="00B73AE6"/>
    <w:rsid w:val="00B76BAF"/>
    <w:rsid w:val="00B775B5"/>
    <w:rsid w:val="00B94F9F"/>
    <w:rsid w:val="00B97900"/>
    <w:rsid w:val="00BA4435"/>
    <w:rsid w:val="00BA55B1"/>
    <w:rsid w:val="00BB10FD"/>
    <w:rsid w:val="00BC6343"/>
    <w:rsid w:val="00BF778B"/>
    <w:rsid w:val="00C23A7C"/>
    <w:rsid w:val="00C31988"/>
    <w:rsid w:val="00C419CD"/>
    <w:rsid w:val="00C427E4"/>
    <w:rsid w:val="00C531C2"/>
    <w:rsid w:val="00C5706E"/>
    <w:rsid w:val="00C57233"/>
    <w:rsid w:val="00C65AAC"/>
    <w:rsid w:val="00C673DB"/>
    <w:rsid w:val="00C74845"/>
    <w:rsid w:val="00C81DE9"/>
    <w:rsid w:val="00C90312"/>
    <w:rsid w:val="00C96AA9"/>
    <w:rsid w:val="00CA1F17"/>
    <w:rsid w:val="00CB3BB1"/>
    <w:rsid w:val="00CB6826"/>
    <w:rsid w:val="00CC4449"/>
    <w:rsid w:val="00CC7B23"/>
    <w:rsid w:val="00CD1F23"/>
    <w:rsid w:val="00CE2F38"/>
    <w:rsid w:val="00CE4950"/>
    <w:rsid w:val="00CE693A"/>
    <w:rsid w:val="00CF0AF7"/>
    <w:rsid w:val="00CF2411"/>
    <w:rsid w:val="00D03D05"/>
    <w:rsid w:val="00D045E2"/>
    <w:rsid w:val="00D14FAA"/>
    <w:rsid w:val="00D253A5"/>
    <w:rsid w:val="00D26B46"/>
    <w:rsid w:val="00D2784A"/>
    <w:rsid w:val="00D4142B"/>
    <w:rsid w:val="00D461BD"/>
    <w:rsid w:val="00D46FB5"/>
    <w:rsid w:val="00D612DD"/>
    <w:rsid w:val="00D6707D"/>
    <w:rsid w:val="00D71CEC"/>
    <w:rsid w:val="00D83356"/>
    <w:rsid w:val="00D85BD2"/>
    <w:rsid w:val="00D874D5"/>
    <w:rsid w:val="00D916CD"/>
    <w:rsid w:val="00D940C0"/>
    <w:rsid w:val="00DA5114"/>
    <w:rsid w:val="00DA5266"/>
    <w:rsid w:val="00DA7C5E"/>
    <w:rsid w:val="00DB2048"/>
    <w:rsid w:val="00DD3C26"/>
    <w:rsid w:val="00DD55C4"/>
    <w:rsid w:val="00DD7E6C"/>
    <w:rsid w:val="00DE4F25"/>
    <w:rsid w:val="00DF394A"/>
    <w:rsid w:val="00E069A1"/>
    <w:rsid w:val="00E16CA6"/>
    <w:rsid w:val="00E210A7"/>
    <w:rsid w:val="00E21511"/>
    <w:rsid w:val="00E34F5F"/>
    <w:rsid w:val="00E43292"/>
    <w:rsid w:val="00E520DD"/>
    <w:rsid w:val="00E66F85"/>
    <w:rsid w:val="00E67AA4"/>
    <w:rsid w:val="00E74E0E"/>
    <w:rsid w:val="00E837CA"/>
    <w:rsid w:val="00E91AC3"/>
    <w:rsid w:val="00E91B31"/>
    <w:rsid w:val="00EA48BA"/>
    <w:rsid w:val="00EB0A74"/>
    <w:rsid w:val="00EB54C8"/>
    <w:rsid w:val="00EC1D06"/>
    <w:rsid w:val="00EC5749"/>
    <w:rsid w:val="00EC67D1"/>
    <w:rsid w:val="00ED4D02"/>
    <w:rsid w:val="00EE62CF"/>
    <w:rsid w:val="00EF4706"/>
    <w:rsid w:val="00F007D1"/>
    <w:rsid w:val="00F353AA"/>
    <w:rsid w:val="00F52C96"/>
    <w:rsid w:val="00F642B0"/>
    <w:rsid w:val="00F6722E"/>
    <w:rsid w:val="00F71DA5"/>
    <w:rsid w:val="00F87E98"/>
    <w:rsid w:val="00F92377"/>
    <w:rsid w:val="00FA0EFE"/>
    <w:rsid w:val="00FA24C7"/>
    <w:rsid w:val="00FB6D25"/>
    <w:rsid w:val="00FC59C5"/>
    <w:rsid w:val="00FE3F2E"/>
    <w:rsid w:val="00FF2FE7"/>
    <w:rsid w:val="0AD43EB1"/>
    <w:rsid w:val="7D417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1"/>
    <w:qFormat/>
    <w:uiPriority w:val="0"/>
    <w:pPr>
      <w:keepNext/>
      <w:keepLines/>
      <w:numPr>
        <w:ilvl w:val="1"/>
        <w:numId w:val="1"/>
      </w:numPr>
      <w:spacing w:before="600" w:after="240" w:line="360" w:lineRule="auto"/>
      <w:outlineLvl w:val="1"/>
    </w:pPr>
    <w:rPr>
      <w:rFonts w:ascii="Times New Roman" w:hAnsi="Times New Roman" w:eastAsia="宋体" w:cs="Book Antiqua"/>
      <w:bCs/>
      <w:kern w:val="0"/>
      <w:sz w:val="24"/>
      <w:szCs w:val="36"/>
      <w:lang w:eastAsia="en-US"/>
    </w:rPr>
  </w:style>
  <w:style w:type="paragraph" w:styleId="3">
    <w:name w:val="heading 3"/>
    <w:basedOn w:val="1"/>
    <w:next w:val="1"/>
    <w:link w:val="12"/>
    <w:qFormat/>
    <w:uiPriority w:val="0"/>
    <w:pPr>
      <w:keepLines/>
      <w:numPr>
        <w:ilvl w:val="2"/>
        <w:numId w:val="1"/>
      </w:numPr>
      <w:spacing w:before="200" w:line="360" w:lineRule="auto"/>
      <w:ind w:left="0"/>
      <w:outlineLvl w:val="2"/>
    </w:pPr>
    <w:rPr>
      <w:rFonts w:ascii="Times New Roman" w:hAnsi="Times New Roman" w:eastAsia="宋体" w:cs="Times New Roman"/>
      <w:kern w:val="0"/>
      <w:sz w:val="24"/>
      <w:szCs w:val="32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页眉 Char"/>
    <w:basedOn w:val="8"/>
    <w:link w:val="5"/>
    <w:qFormat/>
    <w:uiPriority w:val="99"/>
    <w:rPr>
      <w:sz w:val="18"/>
      <w:szCs w:val="18"/>
    </w:rPr>
  </w:style>
  <w:style w:type="character" w:customStyle="1" w:styleId="10">
    <w:name w:val="页脚 Char"/>
    <w:basedOn w:val="8"/>
    <w:link w:val="4"/>
    <w:uiPriority w:val="99"/>
    <w:rPr>
      <w:sz w:val="18"/>
      <w:szCs w:val="18"/>
    </w:rPr>
  </w:style>
  <w:style w:type="character" w:customStyle="1" w:styleId="11">
    <w:name w:val="标题 2 Char"/>
    <w:basedOn w:val="8"/>
    <w:link w:val="2"/>
    <w:qFormat/>
    <w:uiPriority w:val="0"/>
    <w:rPr>
      <w:rFonts w:ascii="Times New Roman" w:hAnsi="Times New Roman" w:eastAsia="宋体" w:cs="Book Antiqua"/>
      <w:bCs/>
      <w:kern w:val="0"/>
      <w:sz w:val="24"/>
      <w:szCs w:val="36"/>
      <w:lang w:eastAsia="en-US"/>
    </w:rPr>
  </w:style>
  <w:style w:type="character" w:customStyle="1" w:styleId="12">
    <w:name w:val="标题 3 Char"/>
    <w:basedOn w:val="8"/>
    <w:link w:val="3"/>
    <w:uiPriority w:val="0"/>
    <w:rPr>
      <w:rFonts w:ascii="Times New Roman" w:hAnsi="Times New Roman" w:eastAsia="宋体" w:cs="Times New Roman"/>
      <w:kern w:val="0"/>
      <w:sz w:val="24"/>
      <w:szCs w:val="32"/>
    </w:rPr>
  </w:style>
  <w:style w:type="paragraph" w:styleId="13">
    <w:name w:val="List Paragraph"/>
    <w:basedOn w:val="1"/>
    <w:qFormat/>
    <w:uiPriority w:val="0"/>
    <w:pPr>
      <w:ind w:firstLine="420" w:firstLineChars="200"/>
    </w:pPr>
    <w:rPr>
      <w:rFonts w:ascii="Calibri" w:hAnsi="Calibri" w:eastAsia="宋体" w:cs="Times New Roman"/>
      <w:kern w:val="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4</Pages>
  <Words>241</Words>
  <Characters>1376</Characters>
  <Lines>11</Lines>
  <Paragraphs>3</Paragraphs>
  <TotalTime>15</TotalTime>
  <ScaleCrop>false</ScaleCrop>
  <LinksUpToDate>false</LinksUpToDate>
  <CharactersWithSpaces>1614</CharactersWithSpaces>
  <Application>WPS Office_11.8.2.8361_F1E327BC-269C-435d-A152-05C5408002CA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2019-04-24T03:08:00Z</dcterms:created>
  <dc:creator>微软(中国)</dc:creator>
  <cp:lastModifiedBy>晓静</cp:lastModifiedBy>
  <dcterms:modified xsi:type="dcterms:W3CDTF">2019-06-06T02:31:43Z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2052-11.8.2.8361</vt:lpwstr>
  </property>
</Properties>
</file>