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心理危机重点排查对象</w:t>
      </w:r>
    </w:p>
    <w:p>
      <w:pPr>
        <w:widowControl/>
        <w:snapToGrid w:val="0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1、因学习困难、就业困难、受处分而出现经常旷课、夜不归宿或联系不上以及心理、行为异常的学生。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2、突发遭遇重大挫折，如家庭发生重大变故或身边同学亲友遭遇突发事件的学生。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3、既往有伤人、自伤、轻生未遂史或家族中有轻生者的学生。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4、患严重身体疾病，个体感觉痛苦，治疗周期长，仍在校坚持学习的学生。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5、患有各种程度心理障碍或心理疾病，正在服用精神类药物控制病情以及曾患心理疾病休学、病情好转又复学的学生。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6、有精神疾病家族遗传史但未发病的学生。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7、环境适应不良、人际关系失调、家庭功能不良（包括单亲家庭、重组家庭、无双亲领养、寄养家庭）而导致心理或行为异常的学生。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8、性格过于内向、孤僻、社会交往很少，缺乏社会支持的学生。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9、家境贫困、经济负担重、自卑感强烈的学生。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10、因感情受挫后出现心理、行为异常的学生。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11、情绪低落、思维迟缓、兴趣减低、悲观、自责自罪、失眠、食欲减退等现象持续十天以上的学生。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12、迷恋上网或形成其它不良习惯的学生。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13、因其它各种问题，如家庭不和睦、性格孤僻、价值观冲突、性困扰、对社会不良现象存在困惑等等，出现心理、行为异常的学生。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2FE0"/>
    <w:rsid w:val="00072FE0"/>
    <w:rsid w:val="001E28F5"/>
    <w:rsid w:val="00250887"/>
    <w:rsid w:val="00622924"/>
    <w:rsid w:val="00825BBD"/>
    <w:rsid w:val="00D17F02"/>
    <w:rsid w:val="00D86C20"/>
    <w:rsid w:val="00F230C1"/>
    <w:rsid w:val="24A0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75</Words>
  <Characters>429</Characters>
  <Lines>3</Lines>
  <Paragraphs>1</Paragraphs>
  <TotalTime>10</TotalTime>
  <ScaleCrop>false</ScaleCrop>
  <LinksUpToDate>false</LinksUpToDate>
  <CharactersWithSpaces>503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2016-11-18T08:22:00Z</dcterms:created>
  <dc:creator>Administrator</dc:creator>
  <cp:lastModifiedBy>Administrator</cp:lastModifiedBy>
  <dcterms:modified xsi:type="dcterms:W3CDTF">2018-10-10T01:33:27Z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