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C42" w:rsidRDefault="00AF5C42" w:rsidP="00AF5C42">
      <w:pPr>
        <w:jc w:val="center"/>
        <w:rPr>
          <w:rFonts w:eastAsia="楷体_GB2312"/>
          <w:b/>
          <w:bCs/>
          <w:sz w:val="72"/>
          <w:szCs w:val="72"/>
        </w:rPr>
      </w:pPr>
      <w:r>
        <w:rPr>
          <w:rFonts w:eastAsia="楷体_GB2312" w:hint="eastAsia"/>
          <w:b/>
          <w:bCs/>
          <w:sz w:val="72"/>
          <w:szCs w:val="72"/>
        </w:rPr>
        <w:t>云杰</w:t>
      </w:r>
      <w:r>
        <w:rPr>
          <w:rFonts w:eastAsia="楷体_GB2312"/>
          <w:b/>
          <w:bCs/>
          <w:sz w:val="72"/>
          <w:szCs w:val="72"/>
        </w:rPr>
        <w:t>URP</w:t>
      </w:r>
      <w:r>
        <w:rPr>
          <w:rFonts w:eastAsia="楷体_GB2312" w:hint="eastAsia"/>
          <w:b/>
          <w:bCs/>
          <w:sz w:val="72"/>
          <w:szCs w:val="72"/>
        </w:rPr>
        <w:t>智慧财务系统</w:t>
      </w:r>
    </w:p>
    <w:p w:rsidR="00AF5C42" w:rsidRDefault="00AF5C42" w:rsidP="00AF5C42">
      <w:pPr>
        <w:jc w:val="center"/>
        <w:rPr>
          <w:rFonts w:eastAsia="楷体_GB2312"/>
          <w:b/>
          <w:bCs/>
          <w:sz w:val="52"/>
        </w:rPr>
      </w:pPr>
    </w:p>
    <w:p w:rsidR="00AF5C42" w:rsidRDefault="00AF5C42" w:rsidP="00AF5C42">
      <w:pPr>
        <w:jc w:val="center"/>
        <w:rPr>
          <w:rFonts w:eastAsia="楷体_GB2312"/>
          <w:b/>
          <w:bCs/>
          <w:sz w:val="52"/>
        </w:rPr>
      </w:pPr>
    </w:p>
    <w:p w:rsidR="00AF5C42" w:rsidRDefault="00AF5C42" w:rsidP="00AF5C42">
      <w:pPr>
        <w:jc w:val="center"/>
        <w:rPr>
          <w:rFonts w:eastAsia="楷体_GB2312"/>
          <w:b/>
          <w:bCs/>
          <w:sz w:val="52"/>
        </w:rPr>
      </w:pPr>
    </w:p>
    <w:p w:rsidR="00AF5C42" w:rsidRDefault="00AF5C42" w:rsidP="00AF5C42">
      <w:pPr>
        <w:jc w:val="center"/>
        <w:rPr>
          <w:rFonts w:eastAsia="楷体_GB2312"/>
          <w:b/>
          <w:bCs/>
          <w:sz w:val="52"/>
        </w:rPr>
      </w:pPr>
    </w:p>
    <w:p w:rsidR="00AF5C42" w:rsidRDefault="00AF5C42" w:rsidP="00AF5C42">
      <w:pPr>
        <w:jc w:val="center"/>
        <w:rPr>
          <w:rFonts w:eastAsia="楷体_GB2312"/>
          <w:b/>
          <w:bCs/>
          <w:sz w:val="52"/>
        </w:rPr>
      </w:pPr>
      <w:r>
        <w:rPr>
          <w:noProof/>
        </w:rPr>
        <w:drawing>
          <wp:inline distT="0" distB="0" distL="0" distR="0" wp14:anchorId="0461AE8D" wp14:editId="3271FC3D">
            <wp:extent cx="1229995" cy="1240155"/>
            <wp:effectExtent l="0" t="0" r="825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C42" w:rsidRDefault="00AF5C42" w:rsidP="00AF5C42">
      <w:pPr>
        <w:jc w:val="center"/>
        <w:rPr>
          <w:rFonts w:eastAsia="楷体_GB2312"/>
          <w:b/>
          <w:bCs/>
          <w:sz w:val="52"/>
        </w:rPr>
      </w:pPr>
    </w:p>
    <w:p w:rsidR="00AF5C42" w:rsidRDefault="00AF5C42" w:rsidP="00AF5C42">
      <w:pPr>
        <w:jc w:val="center"/>
        <w:rPr>
          <w:rFonts w:eastAsia="楷体_GB2312"/>
          <w:b/>
          <w:bCs/>
          <w:sz w:val="52"/>
        </w:rPr>
      </w:pPr>
    </w:p>
    <w:p w:rsidR="00AF5C42" w:rsidRDefault="00CA4CE3" w:rsidP="00AF5C42">
      <w:pPr>
        <w:jc w:val="center"/>
        <w:rPr>
          <w:rFonts w:eastAsia="楷体_GB2312"/>
          <w:b/>
          <w:bCs/>
          <w:sz w:val="56"/>
        </w:rPr>
      </w:pPr>
      <w:r>
        <w:rPr>
          <w:rFonts w:eastAsia="楷体_GB2312" w:hint="eastAsia"/>
          <w:b/>
          <w:bCs/>
          <w:sz w:val="56"/>
        </w:rPr>
        <w:t>内转</w:t>
      </w:r>
      <w:r w:rsidR="00AF5C42">
        <w:rPr>
          <w:rFonts w:eastAsia="楷体_GB2312" w:hint="eastAsia"/>
          <w:b/>
          <w:bCs/>
          <w:sz w:val="56"/>
        </w:rPr>
        <w:t>说明书</w:t>
      </w:r>
    </w:p>
    <w:p w:rsidR="00AF5C42" w:rsidRDefault="00AF5C42" w:rsidP="00AF5C42">
      <w:pPr>
        <w:jc w:val="center"/>
        <w:rPr>
          <w:rFonts w:ascii="楷体" w:eastAsia="楷体" w:hAnsi="楷体"/>
          <w:b/>
          <w:bCs/>
          <w:sz w:val="36"/>
          <w:szCs w:val="36"/>
        </w:rPr>
      </w:pPr>
    </w:p>
    <w:p w:rsidR="00AF5C42" w:rsidRDefault="00AF5C42" w:rsidP="00AF5C42">
      <w:pPr>
        <w:jc w:val="center"/>
        <w:rPr>
          <w:rFonts w:ascii="楷体" w:eastAsia="楷体" w:hAnsi="楷体"/>
          <w:b/>
          <w:bCs/>
          <w:sz w:val="36"/>
          <w:szCs w:val="36"/>
        </w:rPr>
      </w:pPr>
    </w:p>
    <w:p w:rsidR="00AF5C42" w:rsidRDefault="00AF5C42" w:rsidP="00AF5C42">
      <w:pPr>
        <w:jc w:val="center"/>
        <w:rPr>
          <w:rFonts w:eastAsia="楷体_GB2312"/>
          <w:b/>
          <w:bCs/>
          <w:sz w:val="36"/>
        </w:rPr>
      </w:pPr>
    </w:p>
    <w:p w:rsidR="00AF5C42" w:rsidRDefault="00AF5C42" w:rsidP="00AF5C42">
      <w:pPr>
        <w:jc w:val="center"/>
        <w:rPr>
          <w:rFonts w:eastAsia="楷体_GB2312"/>
          <w:b/>
          <w:bCs/>
          <w:sz w:val="36"/>
        </w:rPr>
      </w:pPr>
    </w:p>
    <w:p w:rsidR="00AF5C42" w:rsidRDefault="00AF5C42" w:rsidP="00AF5C42">
      <w:pPr>
        <w:jc w:val="center"/>
        <w:rPr>
          <w:rFonts w:eastAsia="楷体_GB2312"/>
          <w:b/>
          <w:bCs/>
          <w:sz w:val="36"/>
        </w:rPr>
      </w:pPr>
    </w:p>
    <w:p w:rsidR="00AF5C42" w:rsidRDefault="00AF5C42" w:rsidP="00AF5C42">
      <w:pPr>
        <w:jc w:val="center"/>
        <w:rPr>
          <w:rFonts w:eastAsia="楷体_GB2312"/>
          <w:b/>
          <w:bCs/>
          <w:sz w:val="36"/>
        </w:rPr>
      </w:pPr>
      <w:r>
        <w:rPr>
          <w:rFonts w:eastAsia="楷体_GB2312" w:hint="eastAsia"/>
          <w:b/>
          <w:bCs/>
          <w:sz w:val="36"/>
        </w:rPr>
        <w:t>安徽亘达信息科技有限公司</w:t>
      </w:r>
    </w:p>
    <w:p w:rsidR="00AF5C42" w:rsidRDefault="00AF5C42" w:rsidP="00AF5C42">
      <w:pPr>
        <w:jc w:val="center"/>
        <w:rPr>
          <w:rFonts w:eastAsia="楷体_GB2312"/>
          <w:b/>
          <w:bCs/>
          <w:sz w:val="36"/>
        </w:rPr>
      </w:pPr>
      <w:r>
        <w:rPr>
          <w:rFonts w:eastAsia="楷体_GB2312"/>
          <w:b/>
          <w:bCs/>
          <w:sz w:val="36"/>
        </w:rPr>
        <w:t>2018</w:t>
      </w:r>
      <w:r>
        <w:rPr>
          <w:rFonts w:eastAsia="楷体_GB2312" w:hint="eastAsia"/>
          <w:b/>
          <w:bCs/>
          <w:sz w:val="36"/>
        </w:rPr>
        <w:t>年</w:t>
      </w:r>
      <w:r>
        <w:rPr>
          <w:rFonts w:eastAsia="楷体_GB2312"/>
          <w:b/>
          <w:bCs/>
          <w:sz w:val="36"/>
        </w:rPr>
        <w:t>12</w:t>
      </w:r>
      <w:r>
        <w:rPr>
          <w:rFonts w:eastAsia="楷体_GB2312" w:hint="eastAsia"/>
          <w:b/>
          <w:bCs/>
          <w:sz w:val="36"/>
        </w:rPr>
        <w:t>月</w:t>
      </w:r>
      <w:r>
        <w:rPr>
          <w:rFonts w:eastAsia="楷体_GB2312"/>
          <w:b/>
          <w:bCs/>
          <w:sz w:val="36"/>
        </w:rPr>
        <w:br w:type="page"/>
      </w:r>
    </w:p>
    <w:p w:rsidR="00FC1702" w:rsidRPr="009E7445" w:rsidRDefault="00FC1702" w:rsidP="00FC1702">
      <w:pPr>
        <w:pStyle w:val="1"/>
        <w:spacing w:line="360" w:lineRule="auto"/>
        <w:jc w:val="center"/>
      </w:pPr>
      <w:r w:rsidRPr="009E7445">
        <w:rPr>
          <w:rFonts w:hint="eastAsia"/>
        </w:rPr>
        <w:lastRenderedPageBreak/>
        <w:t>云杰系统</w:t>
      </w:r>
      <w:r w:rsidR="0079497A">
        <w:rPr>
          <w:rFonts w:hint="eastAsia"/>
        </w:rPr>
        <w:t>往来结算</w:t>
      </w:r>
      <w:r w:rsidRPr="009E7445">
        <w:rPr>
          <w:rFonts w:hint="eastAsia"/>
        </w:rPr>
        <w:t>说明书</w:t>
      </w:r>
    </w:p>
    <w:p w:rsidR="00645FD6" w:rsidRDefault="0003670D" w:rsidP="00645FD6">
      <w:pPr>
        <w:spacing w:line="360" w:lineRule="auto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内转</w:t>
      </w:r>
      <w:r w:rsidR="00645FD6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使用范围</w:t>
      </w:r>
      <w:r w:rsidR="00645FD6" w:rsidRPr="005D7365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：</w:t>
      </w:r>
    </w:p>
    <w:p w:rsidR="00645FD6" w:rsidRDefault="0003670D" w:rsidP="00AF5C42">
      <w:pPr>
        <w:ind w:firstLine="480"/>
        <w:rPr>
          <w:sz w:val="24"/>
        </w:rPr>
      </w:pPr>
      <w:r>
        <w:rPr>
          <w:rFonts w:hint="eastAsia"/>
          <w:sz w:val="24"/>
        </w:rPr>
        <w:t>内转</w:t>
      </w:r>
      <w:r w:rsidR="00B05FC2">
        <w:rPr>
          <w:rFonts w:hint="eastAsia"/>
          <w:sz w:val="24"/>
        </w:rPr>
        <w:t>业务</w:t>
      </w:r>
      <w:r>
        <w:rPr>
          <w:rFonts w:hint="eastAsia"/>
          <w:sz w:val="24"/>
        </w:rPr>
        <w:t>主要针对</w:t>
      </w:r>
      <w:r w:rsidR="00B05FC2">
        <w:rPr>
          <w:rFonts w:hint="eastAsia"/>
          <w:sz w:val="24"/>
        </w:rPr>
        <w:t>学校内部</w:t>
      </w:r>
      <w:r>
        <w:rPr>
          <w:rFonts w:hint="eastAsia"/>
          <w:sz w:val="24"/>
        </w:rPr>
        <w:t>发生支出</w:t>
      </w:r>
      <w:r w:rsidR="00B05FC2">
        <w:rPr>
          <w:rFonts w:hint="eastAsia"/>
          <w:sz w:val="24"/>
        </w:rPr>
        <w:t>转账</w:t>
      </w:r>
      <w:r>
        <w:rPr>
          <w:rFonts w:hint="eastAsia"/>
          <w:sz w:val="24"/>
        </w:rPr>
        <w:t>，将项目金额转至</w:t>
      </w:r>
      <w:r w:rsidR="00B05FC2">
        <w:rPr>
          <w:rFonts w:hint="eastAsia"/>
          <w:sz w:val="24"/>
        </w:rPr>
        <w:t>往来、基金或</w:t>
      </w:r>
      <w:r>
        <w:rPr>
          <w:rFonts w:hint="eastAsia"/>
          <w:sz w:val="24"/>
        </w:rPr>
        <w:t>另一个项目，例如：某学院使用后勤处的车，需给后勤处支付费用，即可做</w:t>
      </w:r>
      <w:r w:rsidR="00F55322">
        <w:rPr>
          <w:rFonts w:hint="eastAsia"/>
          <w:sz w:val="24"/>
        </w:rPr>
        <w:t>内转进后勤处项目收入；或某学院向后勤处支付电费，后勤处收款后直接支付给供电公司，即可做内转进往来，然后进行往来结算</w:t>
      </w:r>
      <w:r w:rsidR="00B20025">
        <w:rPr>
          <w:rFonts w:hint="eastAsia"/>
          <w:sz w:val="24"/>
        </w:rPr>
        <w:t>。</w:t>
      </w:r>
    </w:p>
    <w:p w:rsidR="00645FD6" w:rsidRPr="0003670D" w:rsidRDefault="00645FD6" w:rsidP="00AF5C42">
      <w:pPr>
        <w:ind w:firstLine="480"/>
        <w:rPr>
          <w:sz w:val="24"/>
        </w:rPr>
      </w:pPr>
    </w:p>
    <w:p w:rsidR="00AF5C42" w:rsidRPr="0014485C" w:rsidRDefault="00AF5C42" w:rsidP="00AF5C42">
      <w:pPr>
        <w:ind w:firstLine="480"/>
        <w:rPr>
          <w:sz w:val="24"/>
        </w:rPr>
      </w:pPr>
      <w:r w:rsidRPr="0014485C">
        <w:rPr>
          <w:rFonts w:hint="eastAsia"/>
          <w:sz w:val="24"/>
        </w:rPr>
        <w:t>打开浏览器</w:t>
      </w:r>
      <w:r w:rsidRPr="0014485C">
        <w:rPr>
          <w:rFonts w:hint="eastAsia"/>
          <w:sz w:val="24"/>
        </w:rPr>
        <w:t>(</w:t>
      </w:r>
      <w:r w:rsidRPr="0014485C">
        <w:rPr>
          <w:rFonts w:ascii="Segoe UI" w:hAnsi="Segoe UI" w:cs="Segoe UI" w:hint="eastAsia"/>
          <w:b/>
          <w:color w:val="5F6368"/>
          <w:sz w:val="24"/>
          <w:szCs w:val="20"/>
        </w:rPr>
        <w:t>支持内核</w:t>
      </w:r>
      <w:r w:rsidRPr="0014485C">
        <w:rPr>
          <w:rFonts w:ascii="Segoe UI" w:hAnsi="Segoe UI" w:cs="Segoe UI" w:hint="eastAsia"/>
          <w:b/>
          <w:color w:val="5F6368"/>
          <w:sz w:val="24"/>
          <w:szCs w:val="20"/>
        </w:rPr>
        <w:t>IE</w:t>
      </w:r>
      <w:r w:rsidRPr="0014485C">
        <w:rPr>
          <w:rFonts w:ascii="Segoe UI" w:hAnsi="Segoe UI" w:cs="Segoe UI"/>
          <w:b/>
          <w:color w:val="5F6368"/>
          <w:sz w:val="24"/>
          <w:szCs w:val="20"/>
        </w:rPr>
        <w:t>9</w:t>
      </w:r>
      <w:r w:rsidRPr="0014485C">
        <w:rPr>
          <w:rFonts w:ascii="Segoe UI" w:hAnsi="Segoe UI" w:cs="Segoe UI" w:hint="eastAsia"/>
          <w:b/>
          <w:color w:val="5F6368"/>
          <w:sz w:val="24"/>
          <w:szCs w:val="20"/>
        </w:rPr>
        <w:t>、</w:t>
      </w:r>
      <w:r w:rsidRPr="0014485C">
        <w:rPr>
          <w:rFonts w:ascii="Segoe UI" w:hAnsi="Segoe UI" w:cs="Segoe UI"/>
          <w:b/>
          <w:color w:val="5F6368"/>
          <w:sz w:val="24"/>
          <w:szCs w:val="20"/>
        </w:rPr>
        <w:t>Chromium50</w:t>
      </w:r>
      <w:r w:rsidRPr="0014485C">
        <w:rPr>
          <w:rFonts w:ascii="Segoe UI" w:hAnsi="Segoe UI" w:cs="Segoe UI" w:hint="eastAsia"/>
          <w:b/>
          <w:color w:val="FF0000"/>
          <w:sz w:val="24"/>
          <w:szCs w:val="20"/>
        </w:rPr>
        <w:t>以上</w:t>
      </w:r>
      <w:r w:rsidRPr="0014485C">
        <w:rPr>
          <w:rFonts w:hint="eastAsia"/>
          <w:sz w:val="24"/>
        </w:rPr>
        <w:t>的浏览器，推荐</w:t>
      </w:r>
      <w:r w:rsidRPr="0014485C">
        <w:rPr>
          <w:rFonts w:ascii="Segoe UI" w:hAnsi="Segoe UI" w:cs="Segoe UI"/>
          <w:color w:val="5F6368"/>
          <w:sz w:val="22"/>
          <w:szCs w:val="20"/>
        </w:rPr>
        <w:t>Chromium</w:t>
      </w:r>
      <w:r w:rsidRPr="0014485C">
        <w:rPr>
          <w:rFonts w:ascii="Segoe UI" w:hAnsi="Segoe UI" w:cs="Segoe UI" w:hint="eastAsia"/>
          <w:color w:val="5F6368"/>
          <w:sz w:val="22"/>
          <w:szCs w:val="20"/>
        </w:rPr>
        <w:t>内核的浏览器，例如：</w:t>
      </w:r>
      <w:r>
        <w:rPr>
          <w:rFonts w:ascii="Segoe UI" w:hAnsi="Segoe UI" w:cs="Segoe UI" w:hint="eastAsia"/>
          <w:color w:val="5F6368"/>
          <w:sz w:val="22"/>
          <w:szCs w:val="20"/>
        </w:rPr>
        <w:t>谷歌浏览器、</w:t>
      </w:r>
      <w:r w:rsidRPr="0014485C">
        <w:rPr>
          <w:rFonts w:ascii="Segoe UI" w:hAnsi="Segoe UI" w:cs="Segoe UI" w:hint="eastAsia"/>
          <w:color w:val="5F6368"/>
          <w:sz w:val="22"/>
          <w:szCs w:val="20"/>
        </w:rPr>
        <w:t>3</w:t>
      </w:r>
      <w:r w:rsidRPr="0014485C">
        <w:rPr>
          <w:rFonts w:ascii="Segoe UI" w:hAnsi="Segoe UI" w:cs="Segoe UI"/>
          <w:color w:val="5F6368"/>
          <w:sz w:val="22"/>
          <w:szCs w:val="20"/>
        </w:rPr>
        <w:t>60</w:t>
      </w:r>
      <w:r w:rsidRPr="0014485C">
        <w:rPr>
          <w:rFonts w:ascii="Segoe UI" w:hAnsi="Segoe UI" w:cs="Segoe UI" w:hint="eastAsia"/>
          <w:color w:val="5F6368"/>
          <w:sz w:val="22"/>
          <w:szCs w:val="20"/>
        </w:rPr>
        <w:t>浏览器的极速模式。</w:t>
      </w:r>
      <w:r w:rsidRPr="0014485C">
        <w:rPr>
          <w:rFonts w:ascii="Segoe UI" w:hAnsi="Segoe UI" w:cs="Segoe UI" w:hint="eastAsia"/>
          <w:color w:val="FF0000"/>
          <w:sz w:val="22"/>
          <w:szCs w:val="20"/>
        </w:rPr>
        <w:t>如果您打开异常，请将您的浏览器更新到最新版本</w:t>
      </w:r>
      <w:r w:rsidRPr="0014485C">
        <w:rPr>
          <w:rFonts w:hint="eastAsia"/>
          <w:sz w:val="24"/>
        </w:rPr>
        <w:t>)</w:t>
      </w:r>
      <w:r w:rsidRPr="0014485C">
        <w:rPr>
          <w:rFonts w:hint="eastAsia"/>
          <w:sz w:val="24"/>
        </w:rPr>
        <w:t>，打开地址</w:t>
      </w:r>
      <w:r w:rsidR="00344275">
        <w:rPr>
          <w:rFonts w:hint="eastAsia"/>
          <w:sz w:val="24"/>
        </w:rPr>
        <w:t>:</w:t>
      </w:r>
      <w:r w:rsidR="00344275" w:rsidRPr="00344275">
        <w:rPr>
          <w:rFonts w:hint="eastAsia"/>
          <w:b/>
          <w:i/>
          <w:color w:val="FF0000"/>
          <w:sz w:val="28"/>
          <w:u w:val="single"/>
        </w:rPr>
        <w:t>各学校自行修改</w:t>
      </w:r>
      <w:r w:rsidRPr="0014485C">
        <w:rPr>
          <w:rFonts w:hint="eastAsia"/>
          <w:sz w:val="24"/>
        </w:rPr>
        <w:t>。界面如图所示。在系统登录区输入用户名和密码</w:t>
      </w:r>
      <w:r w:rsidRPr="0014485C">
        <w:rPr>
          <w:rFonts w:hint="eastAsia"/>
          <w:sz w:val="24"/>
        </w:rPr>
        <w:t>(</w:t>
      </w:r>
      <w:r w:rsidRPr="0014485C">
        <w:rPr>
          <w:rFonts w:ascii="宋体" w:hAnsi="宋体" w:hint="eastAsia"/>
          <w:b/>
          <w:i/>
          <w:sz w:val="24"/>
          <w:u w:val="single"/>
        </w:rPr>
        <w:t>用户名为</w:t>
      </w:r>
      <w:r w:rsidRPr="0014485C">
        <w:rPr>
          <w:rFonts w:ascii="宋体" w:hAnsi="宋体" w:hint="eastAsia"/>
          <w:b/>
          <w:i/>
          <w:color w:val="FF0000"/>
          <w:sz w:val="24"/>
          <w:u w:val="single"/>
        </w:rPr>
        <w:t>工号</w:t>
      </w:r>
      <w:r w:rsidRPr="0014485C">
        <w:rPr>
          <w:rFonts w:ascii="宋体" w:hAnsi="宋体" w:hint="eastAsia"/>
          <w:b/>
          <w:i/>
          <w:sz w:val="24"/>
          <w:u w:val="single"/>
        </w:rPr>
        <w:t>，初始密码为</w:t>
      </w:r>
      <w:r w:rsidRPr="0014485C">
        <w:rPr>
          <w:rFonts w:ascii="宋体" w:hAnsi="宋体" w:hint="eastAsia"/>
          <w:b/>
          <w:i/>
          <w:color w:val="FF0000"/>
          <w:sz w:val="24"/>
          <w:u w:val="single"/>
        </w:rPr>
        <w:t>身份证后六位</w:t>
      </w:r>
      <w:r w:rsidRPr="0014485C">
        <w:rPr>
          <w:rFonts w:hint="eastAsia"/>
          <w:sz w:val="24"/>
        </w:rPr>
        <w:t>)</w:t>
      </w:r>
      <w:r w:rsidRPr="0014485C">
        <w:rPr>
          <w:rFonts w:hint="eastAsia"/>
          <w:sz w:val="24"/>
        </w:rPr>
        <w:t>后，点击登录即可。</w:t>
      </w:r>
    </w:p>
    <w:p w:rsidR="00920BE0" w:rsidRPr="00920BE0" w:rsidRDefault="00920BE0" w:rsidP="00920BE0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286375" cy="2609850"/>
            <wp:effectExtent l="0" t="0" r="9525" b="0"/>
            <wp:docPr id="2" name="图片 2" descr="C:\Users\ASUS\AppData\Roaming\Tencent\Users\243627343\TIM\WinTemp\RichOle\G6L5`]23WH{@ZA}YW$QUBZ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Roaming\Tencent\Users\243627343\TIM\WinTemp\RichOle\G6L5`]23WH{@ZA}YW$QUBZ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702" w:rsidRDefault="00FC1702" w:rsidP="00FC1702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FC1702" w:rsidRDefault="00FC1702" w:rsidP="00FC1702">
      <w:pPr>
        <w:spacing w:line="360" w:lineRule="auto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bookmarkStart w:id="0" w:name="_Hlk4933785"/>
      <w:r w:rsidRPr="005D7365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注意</w:t>
      </w: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事项</w:t>
      </w:r>
      <w:r w:rsidRPr="005D7365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：</w:t>
      </w:r>
    </w:p>
    <w:bookmarkEnd w:id="0"/>
    <w:p w:rsidR="00FC1702" w:rsidRPr="00B61266" w:rsidRDefault="00FC1702" w:rsidP="00FC170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B61266">
        <w:rPr>
          <w:rFonts w:asciiTheme="minorEastAsia" w:eastAsiaTheme="minorEastAsia" w:hAnsiTheme="minorEastAsia" w:hint="eastAsia"/>
          <w:sz w:val="24"/>
        </w:rPr>
        <w:t>初次登陆系统之后建议立即修改登录密码</w:t>
      </w:r>
    </w:p>
    <w:p w:rsidR="00FC1702" w:rsidRPr="00B61266" w:rsidRDefault="00FC1702" w:rsidP="00FC170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4"/>
        </w:rPr>
      </w:pPr>
      <w:r w:rsidRPr="00B61266">
        <w:rPr>
          <w:rFonts w:asciiTheme="minorEastAsia" w:eastAsiaTheme="minorEastAsia" w:hAnsiTheme="minorEastAsia" w:hint="eastAsia"/>
          <w:sz w:val="24"/>
        </w:rPr>
        <w:t>由于系统兼容性问题，浏览器建议使用</w:t>
      </w:r>
      <w:r w:rsidR="00AF5C42" w:rsidRPr="00B61266">
        <w:rPr>
          <w:rFonts w:asciiTheme="minorEastAsia" w:eastAsiaTheme="minorEastAsia" w:hAnsiTheme="minorEastAsia" w:hint="eastAsia"/>
          <w:sz w:val="24"/>
        </w:rPr>
        <w:t>谷歌</w:t>
      </w:r>
      <w:r w:rsidRPr="00B61266">
        <w:rPr>
          <w:rFonts w:asciiTheme="minorEastAsia" w:eastAsiaTheme="minorEastAsia" w:hAnsiTheme="minorEastAsia" w:hint="eastAsia"/>
          <w:sz w:val="24"/>
        </w:rPr>
        <w:t>浏览器</w:t>
      </w:r>
    </w:p>
    <w:p w:rsidR="00FC1702" w:rsidRPr="00B61266" w:rsidRDefault="00FC1702" w:rsidP="00FC1702">
      <w:pPr>
        <w:pStyle w:val="a3"/>
        <w:numPr>
          <w:ilvl w:val="0"/>
          <w:numId w:val="1"/>
        </w:numPr>
        <w:spacing w:line="360" w:lineRule="auto"/>
        <w:ind w:left="357" w:firstLineChars="0" w:hanging="357"/>
        <w:rPr>
          <w:rFonts w:asciiTheme="minorEastAsia" w:eastAsiaTheme="minorEastAsia" w:hAnsiTheme="minorEastAsia"/>
          <w:sz w:val="24"/>
        </w:rPr>
      </w:pPr>
      <w:r w:rsidRPr="00B61266">
        <w:rPr>
          <w:rFonts w:asciiTheme="minorEastAsia" w:eastAsiaTheme="minorEastAsia" w:hAnsiTheme="minorEastAsia" w:hint="eastAsia"/>
          <w:sz w:val="24"/>
        </w:rPr>
        <w:t>若初始登录密码无法登陆，请联系财务处进行密码重置</w:t>
      </w:r>
    </w:p>
    <w:p w:rsidR="00FC1702" w:rsidRPr="00B61266" w:rsidRDefault="00FC1702" w:rsidP="00FC1702">
      <w:pPr>
        <w:pStyle w:val="a3"/>
        <w:numPr>
          <w:ilvl w:val="0"/>
          <w:numId w:val="1"/>
        </w:numPr>
        <w:spacing w:line="360" w:lineRule="auto"/>
        <w:ind w:left="357" w:firstLineChars="0" w:hanging="357"/>
        <w:rPr>
          <w:rFonts w:asciiTheme="minorEastAsia" w:eastAsiaTheme="minorEastAsia" w:hAnsiTheme="minorEastAsia"/>
          <w:sz w:val="24"/>
        </w:rPr>
      </w:pPr>
      <w:r w:rsidRPr="00B61266">
        <w:rPr>
          <w:rFonts w:asciiTheme="minorEastAsia" w:eastAsiaTheme="minorEastAsia" w:hAnsiTheme="minorEastAsia" w:hint="eastAsia"/>
          <w:sz w:val="24"/>
        </w:rPr>
        <w:t>若无校内一卡通工号，请联系财务处</w:t>
      </w:r>
    </w:p>
    <w:p w:rsidR="00AA146B" w:rsidRPr="000D15AB" w:rsidRDefault="00FC1702" w:rsidP="00FE418C">
      <w:pPr>
        <w:rPr>
          <w:rFonts w:asciiTheme="minorEastAsia" w:eastAsiaTheme="minorEastAsia" w:hAnsiTheme="minorEastAsia"/>
          <w:b/>
          <w:sz w:val="30"/>
          <w:szCs w:val="30"/>
        </w:rPr>
      </w:pPr>
      <w:r>
        <w:br w:type="page"/>
      </w:r>
      <w:r w:rsidR="0020756F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内转支出单</w:t>
      </w:r>
      <w:bookmarkStart w:id="1" w:name="_GoBack"/>
      <w:bookmarkEnd w:id="1"/>
    </w:p>
    <w:p w:rsidR="00AA146B" w:rsidRPr="008635D0" w:rsidRDefault="00AA146B" w:rsidP="006107A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8635D0">
        <w:rPr>
          <w:rFonts w:asciiTheme="minorEastAsia" w:eastAsiaTheme="minorEastAsia" w:hAnsiTheme="minorEastAsia" w:hint="eastAsia"/>
          <w:sz w:val="24"/>
        </w:rPr>
        <w:t>点击</w:t>
      </w:r>
      <w:r w:rsidR="002A457C">
        <w:rPr>
          <w:rFonts w:asciiTheme="minorEastAsia" w:eastAsiaTheme="minorEastAsia" w:hAnsiTheme="minorEastAsia" w:hint="eastAsia"/>
          <w:sz w:val="24"/>
        </w:rPr>
        <w:t>其他</w:t>
      </w:r>
      <w:r w:rsidRPr="008635D0">
        <w:rPr>
          <w:rFonts w:asciiTheme="minorEastAsia" w:eastAsiaTheme="minorEastAsia" w:hAnsiTheme="minorEastAsia" w:hint="eastAsia"/>
          <w:sz w:val="24"/>
        </w:rPr>
        <w:t>，</w:t>
      </w:r>
      <w:r>
        <w:rPr>
          <w:rFonts w:asciiTheme="minorEastAsia" w:eastAsiaTheme="minorEastAsia" w:hAnsiTheme="minorEastAsia" w:hint="eastAsia"/>
          <w:sz w:val="24"/>
        </w:rPr>
        <w:t>选择</w:t>
      </w:r>
      <w:r w:rsidR="002A457C">
        <w:rPr>
          <w:rFonts w:asciiTheme="minorEastAsia" w:eastAsiaTheme="minorEastAsia" w:hAnsiTheme="minorEastAsia" w:hint="eastAsia"/>
          <w:sz w:val="24"/>
        </w:rPr>
        <w:t>内转支出单</w:t>
      </w:r>
    </w:p>
    <w:p w:rsidR="00AA146B" w:rsidRDefault="00E57820" w:rsidP="00AA146B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noProof/>
        </w:rPr>
        <w:drawing>
          <wp:inline distT="0" distB="0" distL="0" distR="0" wp14:anchorId="0690B96E" wp14:editId="775884FE">
            <wp:extent cx="5233252" cy="1865130"/>
            <wp:effectExtent l="0" t="0" r="571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" r="778" b="18001"/>
                    <a:stretch/>
                  </pic:blipFill>
                  <pic:spPr bwMode="auto">
                    <a:xfrm>
                      <a:off x="0" y="0"/>
                      <a:ext cx="5233252" cy="1865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457C" w:rsidRDefault="00B10009" w:rsidP="00AA146B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选择支出项目，任务和内转申请单，内转申请单即收入部门做的内转申请单</w:t>
      </w:r>
    </w:p>
    <w:p w:rsidR="00AA146B" w:rsidRDefault="002A457C" w:rsidP="00AA146B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noProof/>
        </w:rPr>
        <w:drawing>
          <wp:inline distT="0" distB="0" distL="0" distR="0" wp14:anchorId="454B90DE" wp14:editId="19F97007">
            <wp:extent cx="5274310" cy="2699385"/>
            <wp:effectExtent l="0" t="0" r="254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F97" w:rsidRDefault="00877F97" w:rsidP="00AA146B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填写附件张数</w:t>
      </w:r>
    </w:p>
    <w:p w:rsidR="00877F97" w:rsidRDefault="00877F97" w:rsidP="00AA146B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noProof/>
        </w:rPr>
        <w:drawing>
          <wp:inline distT="0" distB="0" distL="0" distR="0" wp14:anchorId="683B7EB2" wp14:editId="3C63B546">
            <wp:extent cx="5274310" cy="231140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90E" w:rsidRDefault="0005090E" w:rsidP="00AA146B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添加支出内容，以及支出金额</w:t>
      </w:r>
    </w:p>
    <w:p w:rsidR="00E20519" w:rsidRDefault="0005090E" w:rsidP="00645FD6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noProof/>
        </w:rPr>
        <w:drawing>
          <wp:inline distT="0" distB="0" distL="0" distR="0" wp14:anchorId="71E530B1" wp14:editId="28A90897">
            <wp:extent cx="5274310" cy="218503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90E" w:rsidRDefault="0005090E" w:rsidP="00645FD6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填写没问题后点击提交</w:t>
      </w:r>
      <w:r w:rsidR="000D39B5">
        <w:rPr>
          <w:rFonts w:asciiTheme="minorEastAsia" w:eastAsiaTheme="minorEastAsia" w:hAnsiTheme="minorEastAsia" w:hint="eastAsia"/>
          <w:sz w:val="24"/>
        </w:rPr>
        <w:t>，交由财务处审核</w:t>
      </w:r>
    </w:p>
    <w:p w:rsidR="0005090E" w:rsidRDefault="0005090E" w:rsidP="00645FD6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noProof/>
        </w:rPr>
        <w:drawing>
          <wp:inline distT="0" distB="0" distL="0" distR="0" wp14:anchorId="62276F09" wp14:editId="18D9C65F">
            <wp:extent cx="5274310" cy="21780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4536"/>
                    <a:stretch/>
                  </pic:blipFill>
                  <pic:spPr bwMode="auto">
                    <a:xfrm>
                      <a:off x="0" y="0"/>
                      <a:ext cx="5274310" cy="2178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50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D68" w:rsidRDefault="00E23D68" w:rsidP="00AF5C42">
      <w:r>
        <w:separator/>
      </w:r>
    </w:p>
  </w:endnote>
  <w:endnote w:type="continuationSeparator" w:id="0">
    <w:p w:rsidR="00E23D68" w:rsidRDefault="00E23D68" w:rsidP="00AF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D68" w:rsidRDefault="00E23D68" w:rsidP="00AF5C42">
      <w:r>
        <w:separator/>
      </w:r>
    </w:p>
  </w:footnote>
  <w:footnote w:type="continuationSeparator" w:id="0">
    <w:p w:rsidR="00E23D68" w:rsidRDefault="00E23D68" w:rsidP="00AF5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5154"/>
    <w:multiLevelType w:val="hybridMultilevel"/>
    <w:tmpl w:val="14D463F6"/>
    <w:lvl w:ilvl="0" w:tplc="C744F90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705101"/>
    <w:multiLevelType w:val="hybridMultilevel"/>
    <w:tmpl w:val="1AB01F22"/>
    <w:lvl w:ilvl="0" w:tplc="8B689FC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A356A2"/>
    <w:multiLevelType w:val="hybridMultilevel"/>
    <w:tmpl w:val="F2B22AAC"/>
    <w:lvl w:ilvl="0" w:tplc="02BE9F9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02"/>
    <w:rsid w:val="0003670D"/>
    <w:rsid w:val="0005090E"/>
    <w:rsid w:val="00064133"/>
    <w:rsid w:val="000D39B5"/>
    <w:rsid w:val="0012132C"/>
    <w:rsid w:val="00195653"/>
    <w:rsid w:val="0020756F"/>
    <w:rsid w:val="00267149"/>
    <w:rsid w:val="002A457C"/>
    <w:rsid w:val="002A4C01"/>
    <w:rsid w:val="00344275"/>
    <w:rsid w:val="003A4009"/>
    <w:rsid w:val="00453A04"/>
    <w:rsid w:val="006107A9"/>
    <w:rsid w:val="00631EDB"/>
    <w:rsid w:val="00645FD6"/>
    <w:rsid w:val="006643D2"/>
    <w:rsid w:val="006F5ECB"/>
    <w:rsid w:val="007235E0"/>
    <w:rsid w:val="007525AB"/>
    <w:rsid w:val="0079497A"/>
    <w:rsid w:val="00877F97"/>
    <w:rsid w:val="008B26FF"/>
    <w:rsid w:val="00920BE0"/>
    <w:rsid w:val="009535E8"/>
    <w:rsid w:val="009B0069"/>
    <w:rsid w:val="00AA146B"/>
    <w:rsid w:val="00AF5C42"/>
    <w:rsid w:val="00B05FC2"/>
    <w:rsid w:val="00B10009"/>
    <w:rsid w:val="00B16EB1"/>
    <w:rsid w:val="00B20025"/>
    <w:rsid w:val="00B33E73"/>
    <w:rsid w:val="00B61266"/>
    <w:rsid w:val="00BB12A5"/>
    <w:rsid w:val="00BC6DF1"/>
    <w:rsid w:val="00C60DC9"/>
    <w:rsid w:val="00CA4CE3"/>
    <w:rsid w:val="00CF3159"/>
    <w:rsid w:val="00DD17B5"/>
    <w:rsid w:val="00E20519"/>
    <w:rsid w:val="00E23D68"/>
    <w:rsid w:val="00E57820"/>
    <w:rsid w:val="00F417C5"/>
    <w:rsid w:val="00F55322"/>
    <w:rsid w:val="00F60F0F"/>
    <w:rsid w:val="00FC1702"/>
    <w:rsid w:val="00FE418C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43F83F-F869-45F8-8EBA-A8DC5053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C17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170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FC1702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B16EB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16EB1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5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F5C42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F5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F5C42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60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1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jqy</dc:creator>
  <cp:lastModifiedBy>范 利俊</cp:lastModifiedBy>
  <cp:revision>25</cp:revision>
  <cp:lastPrinted>2019-02-28T08:35:00Z</cp:lastPrinted>
  <dcterms:created xsi:type="dcterms:W3CDTF">2019-03-31T06:21:00Z</dcterms:created>
  <dcterms:modified xsi:type="dcterms:W3CDTF">2019-06-19T03:13:00Z</dcterms:modified>
</cp:coreProperties>
</file>