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65656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656565"/>
          <w:sz w:val="32"/>
          <w:szCs w:val="32"/>
        </w:rPr>
        <w:t>图书馆续订中国知网（CNKI）电子期刊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65656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656565"/>
          <w:sz w:val="32"/>
          <w:szCs w:val="32"/>
        </w:rPr>
        <w:t>等系列数据库使用通知</w:t>
      </w:r>
    </w:p>
    <w:p>
      <w:pPr>
        <w:pStyle w:val="5"/>
        <w:widowControl/>
        <w:spacing w:beforeAutospacing="0" w:afterAutospacing="0" w:line="465" w:lineRule="atLeast"/>
        <w:ind w:firstLine="480"/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shd w:val="clear" w:color="auto" w:fill="FFFFFF"/>
        </w:rPr>
      </w:pPr>
    </w:p>
    <w:p>
      <w:pPr>
        <w:pStyle w:val="5"/>
        <w:widowControl/>
        <w:spacing w:beforeAutospacing="0" w:afterAutospacing="0" w:line="465" w:lineRule="atLeast"/>
        <w:ind w:firstLine="480"/>
        <w:rPr>
          <w:rFonts w:hint="eastAsia" w:asciiTheme="minorEastAsia" w:hAnsiTheme="minorEastAsia" w:eastAsiaTheme="minorEastAsia" w:cstheme="minorEastAsia"/>
          <w:color w:val="494949"/>
          <w:sz w:val="28"/>
          <w:szCs w:val="28"/>
        </w:rPr>
      </w:pP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shd w:val="clear" w:color="auto" w:fill="FFFFFF"/>
        </w:rPr>
        <w:t>为了充分满足学院广大师生教学、科研、学习的需要，完善学院数字资源建设，</w:t>
      </w:r>
      <w:r>
        <w:rPr>
          <w:rFonts w:hint="eastAsia" w:asciiTheme="minorEastAsia" w:hAnsiTheme="minorEastAsia" w:cstheme="minorEastAsia"/>
          <w:color w:val="494949"/>
          <w:sz w:val="28"/>
          <w:szCs w:val="28"/>
          <w:shd w:val="clear" w:color="auto" w:fill="FFFFFF"/>
          <w:lang w:eastAsia="zh-CN"/>
        </w:rPr>
        <w:t>图书馆</w:t>
      </w:r>
      <w:r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shd w:val="clear" w:color="auto" w:fill="FFFFFF"/>
        </w:rPr>
        <w:t>现续订了中国知网</w:t>
      </w:r>
      <w:r>
        <w:rPr>
          <w:rFonts w:hint="eastAsia" w:asciiTheme="minorEastAsia" w:hAnsiTheme="minorEastAsia" w:cstheme="minorEastAsia"/>
          <w:color w:val="494949"/>
          <w:sz w:val="28"/>
          <w:szCs w:val="28"/>
          <w:shd w:val="clear" w:color="auto" w:fill="FFFFFF"/>
          <w:lang w:eastAsia="zh-CN"/>
        </w:rPr>
        <w:t>等系列数据库</w:t>
      </w:r>
      <w:r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shd w:val="clear" w:color="auto" w:fill="FFFFFF"/>
        </w:rPr>
        <w:t>产品并正式开通使用</w:t>
      </w:r>
      <w:r>
        <w:rPr>
          <w:rFonts w:hint="eastAsia" w:asciiTheme="minorEastAsia" w:hAnsiTheme="minorEastAsia" w:cstheme="minorEastAsia"/>
          <w:color w:val="494949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shd w:val="clear" w:color="auto" w:fill="FFFFFF"/>
        </w:rPr>
        <w:t>希望广大教职工和学生积极参与使用，</w:t>
      </w:r>
      <w:r>
        <w:rPr>
          <w:rFonts w:hint="eastAsia" w:asciiTheme="minorEastAsia" w:hAnsiTheme="minorEastAsia" w:eastAsiaTheme="minorEastAsia" w:cstheme="minorEastAsia"/>
          <w:color w:val="494949"/>
          <w:sz w:val="28"/>
          <w:szCs w:val="28"/>
        </w:rPr>
        <w:t>并请及时反馈使用感受。</w:t>
      </w:r>
    </w:p>
    <w:p>
      <w:pPr>
        <w:pStyle w:val="5"/>
        <w:widowControl/>
        <w:spacing w:beforeAutospacing="0" w:afterAutospacing="0" w:line="465" w:lineRule="atLeast"/>
        <w:ind w:firstLine="480"/>
        <w:rPr>
          <w:rFonts w:hint="eastAsia" w:asciiTheme="minorEastAsia" w:hAnsiTheme="minorEastAsia" w:eastAsiaTheme="minorEastAsia" w:cstheme="minorEastAsia"/>
          <w:color w:val="494949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494949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494949"/>
          <w:sz w:val="28"/>
          <w:szCs w:val="28"/>
          <w:lang w:eastAsia="zh-CN"/>
        </w:rPr>
        <w:t>详细产品介绍及使用说明见附件。</w:t>
      </w:r>
    </w:p>
    <w:p>
      <w:pPr>
        <w:pStyle w:val="5"/>
        <w:widowControl/>
        <w:spacing w:beforeAutospacing="0" w:afterAutospacing="0" w:line="465" w:lineRule="atLeast"/>
        <w:ind w:firstLine="480"/>
        <w:rPr>
          <w:rFonts w:hint="eastAsia" w:asciiTheme="minorEastAsia" w:hAnsiTheme="minorEastAsia" w:eastAsiaTheme="minorEastAsia" w:cstheme="minorEastAsia"/>
          <w:color w:val="494949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图书馆</w:t>
      </w:r>
    </w:p>
    <w:p>
      <w:pPr>
        <w:spacing w:line="5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2019年4月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="宋体" w:hAnsi="宋体" w:eastAsia="宋体" w:cs="宋体"/>
          <w:b/>
          <w:color w:val="494949"/>
        </w:rPr>
      </w:pPr>
    </w:p>
    <w:p>
      <w:pPr>
        <w:pStyle w:val="5"/>
        <w:widowControl/>
        <w:spacing w:beforeAutospacing="0" w:afterAutospacing="0" w:line="465" w:lineRule="atLeast"/>
        <w:jc w:val="center"/>
        <w:rPr>
          <w:rFonts w:hint="eastAsia" w:asciiTheme="majorEastAsia" w:hAnsiTheme="majorEastAsia" w:eastAsiaTheme="majorEastAsia" w:cstheme="majorEastAsia"/>
          <w:b/>
          <w:color w:val="494949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494949"/>
          <w:sz w:val="32"/>
          <w:szCs w:val="32"/>
          <w:lang w:val="en-US" w:eastAsia="zh-CN"/>
        </w:rPr>
        <w:t>中国知网（CNLI）数据库使用说明</w:t>
      </w:r>
    </w:p>
    <w:p>
      <w:pPr>
        <w:pStyle w:val="5"/>
        <w:widowControl/>
        <w:spacing w:beforeAutospacing="0" w:afterAutospacing="0" w:line="465" w:lineRule="atLeast"/>
        <w:ind w:left="495" w:hanging="495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494949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bCs w:val="0"/>
          <w:color w:val="2A2A2A"/>
          <w:sz w:val="28"/>
          <w:szCs w:val="28"/>
        </w:rPr>
        <w:t>开通内容</w:t>
      </w:r>
      <w:r>
        <w:rPr>
          <w:rFonts w:hint="eastAsia" w:asciiTheme="minorEastAsia" w:hAnsiTheme="minorEastAsia" w:eastAsiaTheme="minorEastAsia" w:cstheme="minorEastAsia"/>
          <w:b w:val="0"/>
          <w:bCs/>
          <w:color w:val="2A2A2A"/>
          <w:sz w:val="28"/>
          <w:szCs w:val="28"/>
        </w:rPr>
        <w:t>: 期刊、博士论文、硕士论文、中国重要会议论文、国际会议论文、中国重要报纸、中国工具书网络出版总库。</w:t>
      </w:r>
    </w:p>
    <w:p>
      <w:pPr>
        <w:pStyle w:val="5"/>
        <w:widowControl/>
        <w:spacing w:beforeAutospacing="0" w:afterAutospacing="0" w:line="465" w:lineRule="atLeas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494949"/>
          <w:sz w:val="28"/>
          <w:szCs w:val="28"/>
        </w:rPr>
        <w:t>二、使用说明：</w:t>
      </w:r>
    </w:p>
    <w:p>
      <w:pPr>
        <w:pStyle w:val="5"/>
        <w:widowControl/>
        <w:spacing w:beforeAutospacing="0" w:afterAutospacing="0" w:line="480" w:lineRule="atLeas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1.校园网用户通过访问中国知网中心网站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instrText xml:space="preserve"> HYPERLINK "http://www.cnki.net/"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http://www.cnki.net</w:t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 xml:space="preserve">即可检索、浏览、下载原文（限在学院IP地址范围内使用）。 </w:t>
      </w:r>
    </w:p>
    <w:p>
      <w:pPr>
        <w:pStyle w:val="5"/>
        <w:widowControl/>
        <w:spacing w:beforeAutospacing="0" w:afterAutospacing="0" w:line="480" w:lineRule="atLeast"/>
        <w:ind w:firstLine="280" w:firstLineChars="1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2.漫游账号（可校外随意地点不限ip使用）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漫游账号信息如下：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账号：hhhtzy001-hhhtzy900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密码：hhhtzy001-hhhtzy900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例如：1、账号为hhhtzy001，密码则为hhhtzy001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 xml:space="preserve">      2、账号为hhhtzy100，密码则为hhhtzy100</w:t>
      </w:r>
    </w:p>
    <w:p>
      <w:pPr>
        <w:spacing w:line="500" w:lineRule="exact"/>
        <w:ind w:firstLine="420" w:firstLineChars="15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登录账号与密码必须一致。</w:t>
      </w:r>
    </w:p>
    <w:p>
      <w:pPr>
        <w:spacing w:line="5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</w:p>
    <w:p/>
    <w:p/>
    <w:p/>
    <w:p/>
    <w:p/>
    <w:p/>
    <w:p>
      <w:pPr>
        <w:pStyle w:val="2"/>
        <w:widowControl/>
        <w:spacing w:before="0" w:beforeAutospacing="0" w:after="210" w:afterAutospacing="0"/>
        <w:ind w:firstLine="663" w:firstLineChars="200"/>
        <w:jc w:val="center"/>
        <w:rPr>
          <w:sz w:val="33"/>
          <w:szCs w:val="33"/>
        </w:rPr>
      </w:pPr>
    </w:p>
    <w:p>
      <w:pPr>
        <w:pStyle w:val="2"/>
        <w:widowControl/>
        <w:spacing w:before="0" w:beforeAutospacing="0" w:after="210" w:afterAutospacing="0"/>
        <w:ind w:firstLine="663" w:firstLineChars="200"/>
        <w:jc w:val="center"/>
        <w:rPr>
          <w:sz w:val="33"/>
          <w:szCs w:val="33"/>
        </w:rPr>
      </w:pPr>
    </w:p>
    <w:p>
      <w:pPr>
        <w:pStyle w:val="2"/>
        <w:widowControl/>
        <w:spacing w:before="0" w:beforeAutospacing="0" w:after="210" w:afterAutospacing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畅想之星电子书使用说明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</w:rPr>
        <w:t>、畅想之星电子书简介 </w:t>
      </w:r>
    </w:p>
    <w:p>
      <w:pPr>
        <w:pStyle w:val="9"/>
        <w:spacing w:line="240" w:lineRule="auto"/>
        <w:ind w:firstLine="512"/>
        <w:rPr>
          <w:rFonts w:hint="eastAsia" w:asciiTheme="minorEastAsia" w:hAnsiTheme="minorEastAsia" w:eastAsiaTheme="minorEastAsia" w:cstheme="minorEastAsia"/>
          <w:b w:val="0"/>
          <w:bCs w:val="0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kern w:val="0"/>
          <w:sz w:val="28"/>
          <w:szCs w:val="28"/>
          <w:shd w:val="clear" w:color="auto" w:fill="FFFFFF"/>
        </w:rPr>
        <w:t>畅想之星馆配电子书平台，是面向B2B馆配电子图书市场，和出版社深度合作建立的集版权管理、新书发布、电子书采购、销售、阅读与知识发现于一体的综合性服务平台。目前该平台已经有460余家供货商入驻，提供中文、民国和古籍电子图书服务，其中中文电子书总数量超过39万品种，每周更新2000种电子书,年更新不低于10万种；民国电子书10万种，古籍电子书7.5万种，地方志3万种，标准电子书5万种。涉及学科包括哲学、经济学、法学、教育学、文学、历史学、理学、工学、农学、医学、军事学、管理学和艺术学十三大门类。畅想之星主推学术类的新书，相比同类产品数量为最多。该业务目前已服务的客户超过1500家，包括中国人民大学、国家图书馆在内400余家图书馆已正式购买。畅想之星馆配电子书于2015年纳入文化部和财政部推出的数字图书馆推广工程，并于2016年获得“中国创意工业创新奖新商业模式奖银奖”。北京畅想之星于2017、2018连续两年获得全国优秀图书馆数字内容供应商称号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114300" distR="114300">
            <wp:extent cx="5264785" cy="28975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hint="eastAsia" w:asciiTheme="minorEastAsia" w:hAnsiTheme="minorEastAsia" w:eastAsiaTheme="minorEastAsia" w:cstheme="minorEastAsia"/>
          <w:b/>
          <w:bCs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8"/>
          <w:szCs w:val="28"/>
          <w:shd w:val="clear" w:color="auto" w:fill="FFFFFF"/>
        </w:rPr>
        <w:t xml:space="preserve">  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pacing w:val="8"/>
          <w:sz w:val="28"/>
          <w:szCs w:val="28"/>
          <w:shd w:val="clear" w:color="auto" w:fill="FFFFFF"/>
        </w:rPr>
        <w:t>、访问地址：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8"/>
          <w:szCs w:val="28"/>
          <w:shd w:val="clear" w:color="auto" w:fill="FFFFFF"/>
        </w:rPr>
        <w:t>        1.PC端访问：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instrText xml:space="preserve"> HYPERLINK "http://www.cxstar.com/hhhtzy.htm" \t "_blank"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shd w:val="clear" w:color="auto" w:fill="FFFFFF"/>
        </w:rPr>
        <w:t>http://www.cxstar.com/hhhtzy.htm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left="2072" w:hanging="2072" w:hangingChars="700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8"/>
          <w:szCs w:val="28"/>
          <w:shd w:val="clear" w:color="auto" w:fill="FFFFFF"/>
        </w:rPr>
        <w:t>        2.扫描二维码，关注微信公众号后可在微信公众平台阅读。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7AA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7AAA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47975" cy="1829435"/>
            <wp:effectExtent l="0" t="0" r="9525" b="18415"/>
            <wp:docPr id="2" name="图片 2" descr="北京畅想微信公众号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京畅想微信公众号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7AA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 w:val="0"/>
          <w:bCs w:val="0"/>
          <w:spacing w:val="8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8"/>
          <w:sz w:val="28"/>
          <w:szCs w:val="28"/>
          <w:shd w:val="clear" w:color="auto" w:fill="FFFFFF"/>
        </w:rPr>
        <w:t>3.扫码二维码，下载APP阅读，在APP里面阅读。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7AA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7AAA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562225" cy="1999615"/>
            <wp:effectExtent l="0" t="0" r="9525" b="635"/>
            <wp:docPr id="3" name="图片 3" descr="畅想客户端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畅想客户端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jc w:val="both"/>
        <w:rPr>
          <w:rFonts w:ascii="宋体" w:hAnsi="宋体" w:eastAsia="宋体"/>
          <w:kern w:val="2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jc w:val="both"/>
        <w:rPr>
          <w:rFonts w:ascii="宋体" w:hAnsi="宋体" w:eastAsia="宋体"/>
          <w:kern w:val="2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8"/>
          <w:shd w:val="clear" w:color="auto" w:fill="FFFFFF"/>
        </w:rPr>
        <w:t>三、使用说明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1536" w:firstLineChars="600"/>
        <w:jc w:val="both"/>
        <w:rPr>
          <w:rFonts w:ascii="微软雅黑" w:hAnsi="微软雅黑" w:eastAsia="微软雅黑" w:cs="微软雅黑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8"/>
          <w:shd w:val="clear" w:color="auto" w:fill="FFFFFF"/>
        </w:rPr>
        <w:t>1.用户在校园网内可直接登录网址访问。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8"/>
          <w:shd w:val="clear" w:color="auto" w:fill="FFFFFF"/>
        </w:rPr>
        <w:t xml:space="preserve">  2.校园外扫描下方认证二维码后可登录阅读使用。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007AAA"/>
          <w:spacing w:val="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微软雅黑" w:hAnsi="微软雅黑" w:eastAsia="微软雅黑" w:cs="微软雅黑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AAA"/>
          <w:spacing w:val="8"/>
          <w:shd w:val="clear" w:color="auto" w:fill="FFFFFF"/>
        </w:rPr>
        <w:drawing>
          <wp:inline distT="0" distB="0" distL="114300" distR="114300">
            <wp:extent cx="2247900" cy="2047875"/>
            <wp:effectExtent l="0" t="0" r="0" b="9525"/>
            <wp:docPr id="4" name="图片 4" descr="呼和浩特职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呼和浩特职业学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jc w:val="both"/>
        <w:rPr>
          <w:rFonts w:ascii="微软雅黑" w:hAnsi="微软雅黑" w:eastAsia="微软雅黑" w:cs="微软雅黑"/>
          <w:color w:val="333333"/>
          <w:spacing w:val="8"/>
          <w:sz w:val="21"/>
          <w:szCs w:val="21"/>
        </w:rPr>
      </w:pPr>
    </w:p>
    <w:p>
      <w:r>
        <w:rPr>
          <w:rFonts w:hint="eastAsia" w:ascii="微软雅黑" w:hAnsi="微软雅黑" w:eastAsia="微软雅黑" w:cs="微软雅黑"/>
          <w:color w:val="007AAA"/>
          <w:spacing w:val="8"/>
          <w:sz w:val="24"/>
          <w:shd w:val="clear" w:color="auto" w:fill="FFFFFF"/>
        </w:rPr>
        <w:t>                                                                                               </w:t>
      </w:r>
    </w:p>
    <w:p/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</w:rPr>
        <w:t>读秀学术搜索和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电子借阅机使用说明</w:t>
      </w:r>
    </w:p>
    <w:p>
      <w:pPr>
        <w:pStyle w:val="5"/>
        <w:widowControl/>
        <w:spacing w:line="465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494949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读秀学术搜索资源简介</w:t>
      </w:r>
    </w:p>
    <w:p>
      <w:pPr>
        <w:pStyle w:val="5"/>
        <w:widowControl/>
        <w:spacing w:line="465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   读秀学术搜索是由海量中文图书资源组成的庞大知识库系统，其以海量中文图书及中文资料为基础，为读者提供深入图书内容的目录和全文检索、文献试读以及通过 Email 获取文献资源。是一个真正意义上的知识搜索及文献服务平台。目前读秀包含的数据有中文图书全文，280万种；中文图书书目，420万种；中文图书目次，3.8亿条；知识全文，13亿页。 </w:t>
      </w:r>
    </w:p>
    <w:p>
      <w:pPr>
        <w:pStyle w:val="5"/>
        <w:widowControl/>
        <w:spacing w:line="465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二、使用方法</w:t>
      </w:r>
    </w:p>
    <w:p>
      <w:pPr>
        <w:pStyle w:val="5"/>
        <w:widowControl/>
        <w:spacing w:line="465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</w:rPr>
        <w:t>   进入读秀页面后，输入检索词查找所需资源，按照页面提示可邮箱接收全文或在线部分阅读。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 网址：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"http://www.duxiu.com/"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http://www.duxiu.com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 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电子借阅机使用说明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768" w:firstLineChars="300"/>
        <w:jc w:val="both"/>
        <w:rPr>
          <w:rFonts w:ascii="新宋体" w:hAnsi="新宋体" w:eastAsia="新宋体" w:cs="新宋体"/>
          <w:spacing w:val="8"/>
          <w:shd w:val="clear" w:color="auto" w:fill="FFFFFF"/>
        </w:rPr>
      </w:pPr>
      <w:r>
        <w:rPr>
          <w:rFonts w:hint="eastAsia" w:ascii="新宋体" w:hAnsi="新宋体" w:eastAsia="新宋体" w:cs="新宋体"/>
          <w:spacing w:val="8"/>
          <w:shd w:val="clear" w:color="auto" w:fill="FFFFFF"/>
        </w:rPr>
        <w:t xml:space="preserve">    </w:t>
      </w:r>
    </w:p>
    <w:p>
      <w:pPr>
        <w:spacing w:line="4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电子</w:t>
      </w:r>
      <w:bookmarkStart w:id="0" w:name="_Toc4169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借阅机——24小时电子自助借阅系统主要由五部分构成：24小时电子自助借阅终端平台、手持移动终端阅读平台、电子图书与期刊资源、数据中心服务器及管理系统。</w:t>
      </w:r>
    </w:p>
    <w:p>
      <w:pPr>
        <w:pStyle w:val="2"/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1" w:name="_Toc435716791"/>
      <w:bookmarkStart w:id="2" w:name="_Toc2813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1图书借阅</w:t>
      </w:r>
      <w:bookmarkEnd w:id="1"/>
      <w:bookmarkEnd w:id="2"/>
    </w:p>
    <w:p>
      <w:pPr>
        <w:spacing w:line="4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独创的“扫一扫”图书借阅新模式，用手机扫一扫功能轻松借阅电子图书，扫描图书右下方二维码，即可扫描图书至手机，随时随地进行阅读。</w:t>
      </w:r>
    </w:p>
    <w:p>
      <w:pPr>
        <w:pStyle w:val="2"/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3" w:name="_Toc435716792"/>
      <w:bookmarkStart w:id="4" w:name="_Toc15673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2期刊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借阅</w:t>
      </w:r>
      <w:bookmarkEnd w:id="4"/>
    </w:p>
    <w:p>
      <w:pPr>
        <w:spacing w:line="460" w:lineRule="exact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“扫一扫”期刊借阅新模式，用手机扫一扫功能轻松借阅期刊，扫描期刊右下方二维码，即可扫描期刊至手机，随时随地进行阅读。</w:t>
      </w:r>
    </w:p>
    <w:p>
      <w:pPr>
        <w:spacing w:line="460" w:lineRule="exact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电子借阅机放置在图书馆二楼大屏幕北面。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电子借阅机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使用介绍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drawing>
          <wp:inline distT="0" distB="0" distL="0" distR="0">
            <wp:extent cx="2821305" cy="3347720"/>
            <wp:effectExtent l="0" t="0" r="1714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22231C"/>
    <w:rsid w:val="00E5251A"/>
    <w:rsid w:val="00F14E93"/>
    <w:rsid w:val="00F4711F"/>
    <w:rsid w:val="052019D5"/>
    <w:rsid w:val="14A42A4D"/>
    <w:rsid w:val="17FE350B"/>
    <w:rsid w:val="1A1077BA"/>
    <w:rsid w:val="36331F21"/>
    <w:rsid w:val="5522231C"/>
    <w:rsid w:val="657D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1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6</Pages>
  <Words>311</Words>
  <Characters>1775</Characters>
  <Lines>14</Lines>
  <Paragraphs>4</Paragraphs>
  <TotalTime>0</TotalTime>
  <ScaleCrop>false</ScaleCrop>
  <LinksUpToDate>false</LinksUpToDate>
  <CharactersWithSpaces>2082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2019-04-03T02:13:00Z</dcterms:created>
  <dc:creator>快手</dc:creator>
  <cp:lastModifiedBy>阿萱</cp:lastModifiedBy>
  <dcterms:modified xsi:type="dcterms:W3CDTF">2019-04-08T02:35:47Z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