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28"/>
        </w:rPr>
      </w:pPr>
      <w:r>
        <w:rPr>
          <w:b/>
          <w:sz w:val="28"/>
        </w:rPr>
        <w:t>呼和浩特职业学院</w:t>
      </w:r>
      <w:r>
        <w:rPr>
          <w:rFonts w:hint="eastAsia"/>
          <w:b/>
          <w:sz w:val="28"/>
          <w:lang w:val="en-US" w:eastAsia="zh-CN"/>
        </w:rPr>
        <w:t>虚拟化存储升级</w:t>
      </w:r>
      <w:r>
        <w:rPr>
          <w:rFonts w:hint="eastAsia"/>
          <w:b/>
          <w:sz w:val="28"/>
        </w:rPr>
        <w:t>参数和性能指标</w:t>
      </w:r>
    </w:p>
    <w:tbl>
      <w:tblPr>
        <w:tblStyle w:val="4"/>
        <w:tblW w:w="90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42"/>
        <w:gridCol w:w="1979"/>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6" w:type="dxa"/>
            <w:vAlign w:val="center"/>
          </w:tcPr>
          <w:p>
            <w:pPr>
              <w:widowControl/>
              <w:jc w:val="center"/>
              <w:rPr>
                <w:rFonts w:ascii="宋体" w:cs="宋体"/>
                <w:b/>
                <w:bCs/>
              </w:rPr>
            </w:pPr>
            <w:r>
              <w:rPr>
                <w:rFonts w:hint="eastAsia" w:ascii="宋体" w:hAnsi="宋体" w:cs="宋体"/>
                <w:b/>
                <w:bCs/>
              </w:rPr>
              <w:t>编号</w:t>
            </w:r>
          </w:p>
        </w:tc>
        <w:tc>
          <w:tcPr>
            <w:tcW w:w="742" w:type="dxa"/>
            <w:vAlign w:val="center"/>
          </w:tcPr>
          <w:p>
            <w:pPr>
              <w:widowControl/>
              <w:jc w:val="center"/>
              <w:rPr>
                <w:rFonts w:ascii="宋体" w:cs="宋体"/>
                <w:b/>
                <w:bCs/>
              </w:rPr>
            </w:pPr>
            <w:r>
              <w:rPr>
                <w:rFonts w:hint="eastAsia" w:ascii="宋体" w:hAnsi="宋体" w:cs="宋体"/>
                <w:b/>
                <w:bCs/>
              </w:rPr>
              <w:t>参数性质</w:t>
            </w:r>
          </w:p>
        </w:tc>
        <w:tc>
          <w:tcPr>
            <w:tcW w:w="1979" w:type="dxa"/>
            <w:vAlign w:val="center"/>
          </w:tcPr>
          <w:p>
            <w:pPr>
              <w:widowControl/>
              <w:jc w:val="center"/>
              <w:rPr>
                <w:rFonts w:ascii="宋体" w:cs="宋体"/>
                <w:b/>
                <w:bCs/>
              </w:rPr>
            </w:pPr>
            <w:r>
              <w:rPr>
                <w:rFonts w:hint="eastAsia" w:ascii="宋体" w:hAnsi="宋体" w:cs="宋体"/>
                <w:b/>
                <w:bCs/>
              </w:rPr>
              <w:t>技术指标名称</w:t>
            </w:r>
          </w:p>
        </w:tc>
        <w:tc>
          <w:tcPr>
            <w:tcW w:w="5676" w:type="dxa"/>
            <w:vAlign w:val="center"/>
          </w:tcPr>
          <w:p>
            <w:pPr>
              <w:widowControl/>
              <w:jc w:val="center"/>
              <w:rPr>
                <w:rFonts w:ascii="宋体" w:cs="宋体"/>
                <w:b/>
                <w:bCs/>
              </w:rPr>
            </w:pPr>
            <w:r>
              <w:rPr>
                <w:rFonts w:hint="eastAsia" w:ascii="宋体" w:hAnsi="宋体" w:cs="宋体"/>
                <w:b/>
                <w:bCs/>
              </w:rPr>
              <w:t>技术参数和性能指标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6" w:type="dxa"/>
            <w:vAlign w:val="center"/>
          </w:tcPr>
          <w:p>
            <w:pPr>
              <w:jc w:val="center"/>
              <w:rPr>
                <w:rFonts w:ascii="宋体" w:hAnsi="宋体" w:cs="宋体"/>
                <w:color w:val="000000"/>
              </w:rPr>
            </w:pPr>
            <w:r>
              <w:rPr>
                <w:rFonts w:hint="eastAsia" w:ascii="宋体" w:hAnsi="宋体" w:cs="宋体"/>
                <w:color w:val="000000"/>
              </w:rPr>
              <w:t>4</w:t>
            </w:r>
          </w:p>
        </w:tc>
        <w:tc>
          <w:tcPr>
            <w:tcW w:w="742" w:type="dxa"/>
            <w:vAlign w:val="center"/>
          </w:tcPr>
          <w:p>
            <w:pPr>
              <w:jc w:val="center"/>
            </w:pPr>
            <w:r>
              <w:rPr>
                <w:rFonts w:hint="eastAsia" w:ascii="宋体" w:hAnsi="宋体" w:cs="宋体"/>
                <w:color w:val="000000"/>
              </w:rPr>
              <w:t>√</w:t>
            </w:r>
          </w:p>
        </w:tc>
        <w:tc>
          <w:tcPr>
            <w:tcW w:w="1979" w:type="dxa"/>
            <w:vAlign w:val="center"/>
          </w:tcPr>
          <w:p>
            <w:pPr>
              <w:widowControl/>
              <w:jc w:val="center"/>
              <w:rPr>
                <w:sz w:val="20"/>
                <w:szCs w:val="20"/>
              </w:rPr>
            </w:pPr>
            <w:r>
              <w:rPr>
                <w:rFonts w:hint="eastAsia"/>
                <w:sz w:val="20"/>
                <w:szCs w:val="20"/>
              </w:rPr>
              <w:t>虚拟化平台升级服务</w:t>
            </w:r>
          </w:p>
        </w:tc>
        <w:tc>
          <w:tcPr>
            <w:tcW w:w="5676" w:type="dxa"/>
            <w:vAlign w:val="center"/>
          </w:tcPr>
          <w:p>
            <w:pPr>
              <w:widowControl/>
              <w:jc w:val="left"/>
              <w:rPr>
                <w:rFonts w:hint="eastAsia"/>
                <w:color w:val="000000"/>
                <w:sz w:val="20"/>
                <w:szCs w:val="20"/>
              </w:rPr>
            </w:pPr>
            <w:r>
              <w:rPr>
                <w:rFonts w:hint="eastAsia"/>
                <w:sz w:val="20"/>
                <w:szCs w:val="20"/>
              </w:rPr>
              <w:t>将原虚拟化平台从版本</w:t>
            </w:r>
            <w:r>
              <w:rPr>
                <w:rFonts w:hint="eastAsia"/>
                <w:color w:val="000000"/>
                <w:sz w:val="20"/>
                <w:szCs w:val="20"/>
              </w:rPr>
              <w:t>6.0.0</w:t>
            </w:r>
            <w:r>
              <w:rPr>
                <w:rFonts w:hint="eastAsia"/>
                <w:sz w:val="20"/>
                <w:szCs w:val="20"/>
              </w:rPr>
              <w:t>（</w:t>
            </w:r>
            <w:r>
              <w:rPr>
                <w:rFonts w:hint="eastAsia"/>
                <w:color w:val="000000"/>
                <w:sz w:val="20"/>
                <w:szCs w:val="20"/>
              </w:rPr>
              <w:t>2656761</w:t>
            </w:r>
            <w:r>
              <w:rPr>
                <w:rFonts w:hint="eastAsia"/>
                <w:sz w:val="20"/>
                <w:szCs w:val="20"/>
              </w:rPr>
              <w:t>）升级至</w:t>
            </w:r>
            <w:r>
              <w:rPr>
                <w:rFonts w:hint="eastAsia"/>
                <w:color w:val="000000"/>
                <w:sz w:val="20"/>
                <w:szCs w:val="20"/>
              </w:rPr>
              <w:t>6.5U2</w:t>
            </w:r>
            <w:r>
              <w:rPr>
                <w:rFonts w:hint="eastAsia"/>
                <w:sz w:val="20"/>
                <w:szCs w:val="20"/>
              </w:rPr>
              <w:t>版本，对接原备份系统，解决</w:t>
            </w:r>
            <w:r>
              <w:rPr>
                <w:rFonts w:hint="eastAsia"/>
                <w:color w:val="000000"/>
                <w:sz w:val="20"/>
                <w:szCs w:val="20"/>
              </w:rPr>
              <w:t>CBT</w:t>
            </w:r>
            <w:r>
              <w:rPr>
                <w:rFonts w:hint="eastAsia"/>
                <w:sz w:val="20"/>
                <w:szCs w:val="20"/>
              </w:rPr>
              <w:t>备份失败问题；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6" w:type="dxa"/>
            <w:vAlign w:val="center"/>
          </w:tcPr>
          <w:p>
            <w:pPr>
              <w:jc w:val="center"/>
              <w:rPr>
                <w:rFonts w:ascii="宋体" w:hAnsi="宋体" w:cs="宋体"/>
                <w:color w:val="000000"/>
              </w:rPr>
            </w:pPr>
            <w:r>
              <w:rPr>
                <w:rFonts w:hint="eastAsia" w:ascii="宋体" w:hAnsi="宋体" w:cs="宋体"/>
                <w:color w:val="000000"/>
              </w:rPr>
              <w:t>5</w:t>
            </w:r>
          </w:p>
        </w:tc>
        <w:tc>
          <w:tcPr>
            <w:tcW w:w="742" w:type="dxa"/>
            <w:vAlign w:val="center"/>
          </w:tcPr>
          <w:p>
            <w:pPr>
              <w:jc w:val="center"/>
              <w:rPr>
                <w:rFonts w:ascii="宋体" w:hAnsi="宋体" w:cs="宋体"/>
                <w:color w:val="000000"/>
              </w:rPr>
            </w:pPr>
            <w:r>
              <w:rPr>
                <w:rFonts w:hint="eastAsia" w:ascii="宋体" w:hAnsi="宋体" w:cs="宋体"/>
                <w:color w:val="000000"/>
              </w:rPr>
              <w:t>√</w:t>
            </w:r>
          </w:p>
        </w:tc>
        <w:tc>
          <w:tcPr>
            <w:tcW w:w="1979" w:type="dxa"/>
            <w:vAlign w:val="center"/>
          </w:tcPr>
          <w:p>
            <w:pPr>
              <w:jc w:val="center"/>
              <w:rPr>
                <w:sz w:val="20"/>
                <w:szCs w:val="20"/>
              </w:rPr>
            </w:pPr>
            <w:r>
              <w:rPr>
                <w:rFonts w:hint="eastAsia"/>
                <w:sz w:val="20"/>
                <w:szCs w:val="20"/>
              </w:rPr>
              <w:t>虚拟化平台主机扩容服务</w:t>
            </w:r>
          </w:p>
        </w:tc>
        <w:tc>
          <w:tcPr>
            <w:tcW w:w="5676" w:type="dxa"/>
            <w:vAlign w:val="center"/>
          </w:tcPr>
          <w:p>
            <w:pPr>
              <w:widowControl/>
              <w:jc w:val="left"/>
              <w:rPr>
                <w:sz w:val="20"/>
                <w:szCs w:val="20"/>
              </w:rPr>
            </w:pPr>
            <w:r>
              <w:rPr>
                <w:rFonts w:hint="eastAsia"/>
                <w:sz w:val="20"/>
                <w:szCs w:val="20"/>
              </w:rPr>
              <w:t>支持对虚拟化平台主机扩容需求，对校方采购的服务器进行上架、分配存储资源、分配网络资源，安装虚拟化操作系统，加入虚拟化集群的服务内容；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6" w:type="dxa"/>
            <w:vAlign w:val="center"/>
          </w:tcPr>
          <w:p>
            <w:pPr>
              <w:jc w:val="center"/>
              <w:rPr>
                <w:rFonts w:ascii="宋体" w:hAnsi="宋体" w:cs="宋体"/>
                <w:color w:val="000000"/>
              </w:rPr>
            </w:pPr>
            <w:r>
              <w:rPr>
                <w:rFonts w:hint="eastAsia" w:ascii="宋体" w:hAnsi="宋体" w:cs="宋体"/>
                <w:color w:val="000000"/>
              </w:rPr>
              <w:t>6</w:t>
            </w:r>
          </w:p>
        </w:tc>
        <w:tc>
          <w:tcPr>
            <w:tcW w:w="742" w:type="dxa"/>
            <w:vAlign w:val="center"/>
          </w:tcPr>
          <w:p>
            <w:pPr>
              <w:jc w:val="center"/>
              <w:rPr>
                <w:rFonts w:ascii="宋体" w:hAnsi="宋体" w:cs="宋体"/>
                <w:color w:val="000000"/>
              </w:rPr>
            </w:pPr>
            <w:r>
              <w:rPr>
                <w:rFonts w:hint="eastAsia" w:ascii="宋体" w:hAnsi="宋体" w:cs="宋体"/>
                <w:color w:val="000000"/>
              </w:rPr>
              <w:t>√</w:t>
            </w:r>
          </w:p>
        </w:tc>
        <w:tc>
          <w:tcPr>
            <w:tcW w:w="1979" w:type="dxa"/>
            <w:vAlign w:val="center"/>
          </w:tcPr>
          <w:p>
            <w:pPr>
              <w:jc w:val="center"/>
              <w:rPr>
                <w:sz w:val="20"/>
                <w:szCs w:val="20"/>
              </w:rPr>
            </w:pPr>
            <w:r>
              <w:rPr>
                <w:rFonts w:hint="eastAsia"/>
                <w:sz w:val="20"/>
                <w:szCs w:val="20"/>
              </w:rPr>
              <w:t>数据中心物理架构优化服务</w:t>
            </w:r>
          </w:p>
        </w:tc>
        <w:tc>
          <w:tcPr>
            <w:tcW w:w="5676" w:type="dxa"/>
            <w:vAlign w:val="center"/>
          </w:tcPr>
          <w:p>
            <w:pPr>
              <w:widowControl/>
              <w:jc w:val="left"/>
              <w:rPr>
                <w:sz w:val="20"/>
                <w:szCs w:val="20"/>
              </w:rPr>
            </w:pPr>
            <w:r>
              <w:rPr>
                <w:rFonts w:hint="eastAsia"/>
                <w:sz w:val="20"/>
                <w:szCs w:val="20"/>
              </w:rPr>
              <w:t>1、完成对数据中心现有结构梳理；制定物理架构优化方案；</w:t>
            </w:r>
            <w:r>
              <w:rPr>
                <w:rFonts w:hint="eastAsia"/>
                <w:sz w:val="20"/>
                <w:szCs w:val="20"/>
              </w:rPr>
              <w:br w:type="textWrapping"/>
            </w:r>
            <w:r>
              <w:rPr>
                <w:rFonts w:hint="eastAsia"/>
                <w:sz w:val="20"/>
                <w:szCs w:val="20"/>
              </w:rPr>
              <w:t>2、优化服务器汇聚区域网络架构，调整交换机部署方式；</w:t>
            </w:r>
            <w:r>
              <w:rPr>
                <w:rFonts w:hint="eastAsia"/>
                <w:sz w:val="20"/>
                <w:szCs w:val="20"/>
              </w:rPr>
              <w:br w:type="textWrapping"/>
            </w:r>
            <w:r>
              <w:rPr>
                <w:rFonts w:hint="eastAsia"/>
                <w:sz w:val="20"/>
                <w:szCs w:val="20"/>
              </w:rPr>
              <w:t>3、完成数据中心边界安全优化，调整边界设备部署方案及安全策略，满足等级保护要求；</w:t>
            </w:r>
            <w:r>
              <w:rPr>
                <w:rFonts w:hint="eastAsia"/>
                <w:sz w:val="20"/>
                <w:szCs w:val="20"/>
              </w:rPr>
              <w:br w:type="textWrapping"/>
            </w:r>
            <w:r>
              <w:rPr>
                <w:rFonts w:hint="eastAsia"/>
                <w:sz w:val="20"/>
                <w:szCs w:val="20"/>
              </w:rPr>
              <w:t>4、迁移虚拟化管理平台管理网段至服务器虚拟化汇聚交换机上；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6" w:type="dxa"/>
            <w:vAlign w:val="center"/>
          </w:tcPr>
          <w:p>
            <w:pPr>
              <w:jc w:val="center"/>
              <w:rPr>
                <w:rFonts w:ascii="宋体" w:hAnsi="宋体" w:cs="宋体"/>
                <w:color w:val="000000"/>
              </w:rPr>
            </w:pPr>
            <w:r>
              <w:rPr>
                <w:rFonts w:hint="eastAsia" w:ascii="宋体" w:hAnsi="宋体" w:cs="宋体"/>
                <w:color w:val="000000"/>
              </w:rPr>
              <w:t>7</w:t>
            </w:r>
          </w:p>
        </w:tc>
        <w:tc>
          <w:tcPr>
            <w:tcW w:w="742" w:type="dxa"/>
            <w:vAlign w:val="center"/>
          </w:tcPr>
          <w:p>
            <w:pPr>
              <w:jc w:val="center"/>
              <w:rPr>
                <w:rFonts w:ascii="宋体" w:hAnsi="宋体" w:cs="宋体"/>
                <w:color w:val="000000"/>
              </w:rPr>
            </w:pPr>
            <w:r>
              <w:rPr>
                <w:rFonts w:hint="eastAsia" w:ascii="宋体" w:hAnsi="宋体" w:cs="宋体"/>
                <w:color w:val="000000"/>
              </w:rPr>
              <w:t>√</w:t>
            </w:r>
          </w:p>
        </w:tc>
        <w:tc>
          <w:tcPr>
            <w:tcW w:w="1979" w:type="dxa"/>
            <w:vAlign w:val="center"/>
          </w:tcPr>
          <w:p>
            <w:pPr>
              <w:jc w:val="center"/>
              <w:rPr>
                <w:sz w:val="20"/>
                <w:szCs w:val="20"/>
              </w:rPr>
            </w:pPr>
            <w:r>
              <w:rPr>
                <w:rFonts w:hint="eastAsia"/>
                <w:sz w:val="20"/>
                <w:szCs w:val="20"/>
              </w:rPr>
              <w:t>数据中心虚拟化平台网络优化服务</w:t>
            </w:r>
          </w:p>
        </w:tc>
        <w:tc>
          <w:tcPr>
            <w:tcW w:w="5676" w:type="dxa"/>
            <w:vAlign w:val="center"/>
          </w:tcPr>
          <w:p>
            <w:pPr>
              <w:widowControl/>
              <w:jc w:val="left"/>
              <w:rPr>
                <w:sz w:val="20"/>
                <w:szCs w:val="20"/>
              </w:rPr>
            </w:pPr>
            <w:r>
              <w:rPr>
                <w:rFonts w:hint="eastAsia"/>
                <w:sz w:val="20"/>
                <w:szCs w:val="20"/>
              </w:rPr>
              <w:t>1、安装部署调试网络虚拟化软件；</w:t>
            </w:r>
            <w:bookmarkStart w:id="0" w:name="_GoBack"/>
            <w:bookmarkEnd w:id="0"/>
            <w:r>
              <w:rPr>
                <w:rFonts w:hint="eastAsia"/>
                <w:sz w:val="20"/>
                <w:szCs w:val="20"/>
              </w:rPr>
              <w:br w:type="textWrapping"/>
            </w:r>
            <w:r>
              <w:rPr>
                <w:rFonts w:hint="eastAsia"/>
                <w:sz w:val="20"/>
                <w:szCs w:val="20"/>
              </w:rPr>
              <w:t>2、虚拟网络与物理网络对接（虚拟Edge边界路由器与数据中心汇聚交换机三层路由对接，南北向流量对接）；</w:t>
            </w:r>
            <w:r>
              <w:rPr>
                <w:rFonts w:hint="eastAsia"/>
                <w:sz w:val="20"/>
                <w:szCs w:val="20"/>
              </w:rPr>
              <w:br w:type="textWrapping"/>
            </w:r>
            <w:r>
              <w:rPr>
                <w:rFonts w:hint="eastAsia"/>
                <w:sz w:val="20"/>
                <w:szCs w:val="20"/>
              </w:rPr>
              <w:t>3、将原有的虚拟机从原有分布式交换机上迁移至网络虚拟化分布式路由器上；</w:t>
            </w:r>
            <w:r>
              <w:rPr>
                <w:rFonts w:hint="eastAsia"/>
                <w:sz w:val="20"/>
                <w:szCs w:val="20"/>
              </w:rPr>
              <w:br w:type="textWrapping"/>
            </w:r>
            <w:r>
              <w:rPr>
                <w:rFonts w:hint="eastAsia"/>
                <w:sz w:val="20"/>
                <w:szCs w:val="20"/>
              </w:rPr>
              <w:t>4、为每个虚拟机部署虚拟防火墙模块，调整安全策略；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676" w:type="dxa"/>
            <w:vAlign w:val="center"/>
          </w:tcPr>
          <w:p>
            <w:pPr>
              <w:jc w:val="center"/>
              <w:rPr>
                <w:rFonts w:ascii="宋体" w:hAnsi="宋体" w:cs="宋体"/>
                <w:color w:val="000000"/>
              </w:rPr>
            </w:pPr>
            <w:r>
              <w:rPr>
                <w:rFonts w:hint="eastAsia" w:ascii="宋体" w:hAnsi="宋体" w:cs="宋体"/>
                <w:color w:val="000000"/>
              </w:rPr>
              <w:t>8</w:t>
            </w:r>
          </w:p>
        </w:tc>
        <w:tc>
          <w:tcPr>
            <w:tcW w:w="742" w:type="dxa"/>
            <w:vAlign w:val="center"/>
          </w:tcPr>
          <w:p>
            <w:pPr>
              <w:jc w:val="center"/>
              <w:rPr>
                <w:rFonts w:ascii="宋体" w:hAnsi="宋体" w:cs="宋体"/>
                <w:color w:val="000000"/>
              </w:rPr>
            </w:pPr>
            <w:r>
              <w:rPr>
                <w:rFonts w:hint="eastAsia" w:ascii="宋体" w:hAnsi="宋体" w:cs="宋体"/>
                <w:color w:val="000000"/>
              </w:rPr>
              <w:t>√</w:t>
            </w:r>
          </w:p>
        </w:tc>
        <w:tc>
          <w:tcPr>
            <w:tcW w:w="1979" w:type="dxa"/>
            <w:vAlign w:val="center"/>
          </w:tcPr>
          <w:p>
            <w:pPr>
              <w:jc w:val="center"/>
              <w:rPr>
                <w:sz w:val="20"/>
                <w:szCs w:val="20"/>
              </w:rPr>
            </w:pPr>
            <w:r>
              <w:rPr>
                <w:rFonts w:hint="eastAsia"/>
                <w:sz w:val="20"/>
                <w:szCs w:val="20"/>
              </w:rPr>
              <w:t>安全优化服务</w:t>
            </w:r>
          </w:p>
        </w:tc>
        <w:tc>
          <w:tcPr>
            <w:tcW w:w="5676" w:type="dxa"/>
            <w:vAlign w:val="center"/>
          </w:tcPr>
          <w:p>
            <w:pPr>
              <w:widowControl/>
              <w:jc w:val="left"/>
              <w:rPr>
                <w:sz w:val="20"/>
                <w:szCs w:val="20"/>
              </w:rPr>
            </w:pPr>
            <w:r>
              <w:rPr>
                <w:rFonts w:hint="eastAsia"/>
                <w:sz w:val="20"/>
                <w:szCs w:val="20"/>
              </w:rPr>
              <w:t>对安全设备策略进行优化，结合网络虚拟化上的分布式防火墙形成立体化防护；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76" w:type="dxa"/>
            <w:vAlign w:val="center"/>
          </w:tcPr>
          <w:p>
            <w:pPr>
              <w:jc w:val="center"/>
              <w:rPr>
                <w:rFonts w:ascii="宋体" w:hAnsi="宋体" w:cs="宋体"/>
                <w:color w:val="000000"/>
              </w:rPr>
            </w:pPr>
            <w:r>
              <w:rPr>
                <w:rFonts w:hint="eastAsia" w:ascii="宋体" w:hAnsi="宋体" w:cs="宋体"/>
                <w:color w:val="000000"/>
              </w:rPr>
              <w:t>9</w:t>
            </w:r>
          </w:p>
        </w:tc>
        <w:tc>
          <w:tcPr>
            <w:tcW w:w="742" w:type="dxa"/>
            <w:vAlign w:val="center"/>
          </w:tcPr>
          <w:p>
            <w:pPr>
              <w:jc w:val="center"/>
            </w:pPr>
            <w:r>
              <w:rPr>
                <w:rFonts w:hint="eastAsia" w:ascii="宋体" w:hAnsi="宋体" w:cs="宋体"/>
                <w:color w:val="000000"/>
              </w:rPr>
              <w:t>√</w:t>
            </w:r>
          </w:p>
        </w:tc>
        <w:tc>
          <w:tcPr>
            <w:tcW w:w="1979" w:type="dxa"/>
            <w:vAlign w:val="center"/>
          </w:tcPr>
          <w:p>
            <w:pPr>
              <w:jc w:val="center"/>
              <w:rPr>
                <w:sz w:val="20"/>
                <w:szCs w:val="20"/>
              </w:rPr>
            </w:pPr>
            <w:r>
              <w:rPr>
                <w:rFonts w:hint="eastAsia"/>
                <w:sz w:val="20"/>
                <w:szCs w:val="20"/>
              </w:rPr>
              <w:t>数据中心运维服务</w:t>
            </w:r>
          </w:p>
        </w:tc>
        <w:tc>
          <w:tcPr>
            <w:tcW w:w="5676" w:type="dxa"/>
            <w:vAlign w:val="center"/>
          </w:tcPr>
          <w:p>
            <w:pPr>
              <w:widowControl/>
              <w:jc w:val="left"/>
              <w:rPr>
                <w:sz w:val="20"/>
                <w:szCs w:val="20"/>
              </w:rPr>
            </w:pPr>
            <w:r>
              <w:rPr>
                <w:rFonts w:hint="eastAsia"/>
                <w:sz w:val="20"/>
                <w:szCs w:val="20"/>
              </w:rPr>
              <w:t>1、对数据中心区域的设备进行定期巡检，形成巡检报告，巡检时间为每周≥1次；</w:t>
            </w:r>
            <w:r>
              <w:rPr>
                <w:rFonts w:hint="eastAsia"/>
                <w:sz w:val="20"/>
                <w:szCs w:val="20"/>
              </w:rPr>
              <w:br w:type="textWrapping"/>
            </w:r>
            <w:r>
              <w:rPr>
                <w:rFonts w:hint="eastAsia"/>
                <w:sz w:val="20"/>
                <w:szCs w:val="20"/>
              </w:rPr>
              <w:t>2、满足网络中心日常调试需求，提供现场支持服务（具体内容和用户核定）</w:t>
            </w:r>
            <w:r>
              <w:rPr>
                <w:rFonts w:hint="eastAsia"/>
                <w:sz w:val="20"/>
                <w:szCs w:val="20"/>
              </w:rPr>
              <w:br w:type="textWrapping"/>
            </w:r>
            <w:r>
              <w:rPr>
                <w:rFonts w:hint="eastAsia"/>
                <w:sz w:val="20"/>
                <w:szCs w:val="20"/>
              </w:rPr>
              <w:t>3、提供对网络虚拟化软件使用的技术培训。</w:t>
            </w:r>
            <w:r>
              <w:rPr>
                <w:rFonts w:hint="eastAsia"/>
                <w:sz w:val="20"/>
                <w:szCs w:val="20"/>
              </w:rPr>
              <w:br w:type="textWrapping"/>
            </w:r>
            <w:r>
              <w:rPr>
                <w:rFonts w:hint="eastAsia"/>
                <w:sz w:val="20"/>
                <w:szCs w:val="20"/>
              </w:rPr>
              <w:t>4、重大时间节点提供现场支持服务；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76" w:type="dxa"/>
            <w:vAlign w:val="center"/>
          </w:tcPr>
          <w:p>
            <w:pPr>
              <w:jc w:val="center"/>
              <w:rPr>
                <w:rFonts w:ascii="宋体" w:hAnsi="宋体" w:cs="宋体"/>
                <w:color w:val="000000"/>
              </w:rPr>
            </w:pPr>
            <w:r>
              <w:rPr>
                <w:rFonts w:hint="eastAsia" w:ascii="宋体" w:hAnsi="宋体" w:cs="宋体"/>
                <w:color w:val="000000"/>
              </w:rPr>
              <w:t>10</w:t>
            </w:r>
          </w:p>
        </w:tc>
        <w:tc>
          <w:tcPr>
            <w:tcW w:w="742" w:type="dxa"/>
            <w:vAlign w:val="center"/>
          </w:tcPr>
          <w:p>
            <w:pPr>
              <w:jc w:val="center"/>
              <w:rPr>
                <w:rFonts w:ascii="宋体" w:hAnsi="宋体" w:cs="宋体"/>
                <w:color w:val="000000"/>
              </w:rPr>
            </w:pPr>
            <w:r>
              <w:rPr>
                <w:rFonts w:hint="eastAsia" w:ascii="宋体" w:hAnsi="宋体" w:cs="宋体"/>
                <w:color w:val="000000"/>
              </w:rPr>
              <w:t>√</w:t>
            </w:r>
          </w:p>
        </w:tc>
        <w:tc>
          <w:tcPr>
            <w:tcW w:w="1979" w:type="dxa"/>
            <w:vAlign w:val="center"/>
          </w:tcPr>
          <w:p>
            <w:pPr>
              <w:widowControl/>
              <w:jc w:val="center"/>
              <w:rPr>
                <w:sz w:val="20"/>
                <w:szCs w:val="20"/>
              </w:rPr>
            </w:pPr>
            <w:r>
              <w:rPr>
                <w:rFonts w:hint="eastAsia"/>
                <w:sz w:val="20"/>
                <w:szCs w:val="20"/>
              </w:rPr>
              <w:t>VX2400备份设备存储扩容</w:t>
            </w:r>
          </w:p>
        </w:tc>
        <w:tc>
          <w:tcPr>
            <w:tcW w:w="5676" w:type="dxa"/>
            <w:vAlign w:val="center"/>
          </w:tcPr>
          <w:p>
            <w:pPr>
              <w:widowControl/>
              <w:jc w:val="left"/>
              <w:rPr>
                <w:sz w:val="20"/>
                <w:szCs w:val="20"/>
              </w:rPr>
            </w:pPr>
            <w:r>
              <w:rPr>
                <w:rFonts w:hint="eastAsia"/>
                <w:sz w:val="20"/>
                <w:szCs w:val="20"/>
              </w:rPr>
              <w:t>支持企业级SAS硬盘、SATA硬盘、SSD硬盘，本次配置≥</w:t>
            </w:r>
            <w:r>
              <w:rPr>
                <w:sz w:val="20"/>
                <w:szCs w:val="20"/>
              </w:rPr>
              <w:t>12</w:t>
            </w:r>
            <w:r>
              <w:rPr>
                <w:rFonts w:hint="eastAsia"/>
                <w:sz w:val="20"/>
                <w:szCs w:val="20"/>
              </w:rPr>
              <w:t>块6TB/NLSAS/7200 rpm/256M缓存/3.5英寸；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76" w:type="dxa"/>
            <w:vAlign w:val="center"/>
          </w:tcPr>
          <w:p>
            <w:pPr>
              <w:jc w:val="center"/>
              <w:rPr>
                <w:rFonts w:ascii="宋体" w:hAnsi="宋体" w:cs="宋体"/>
                <w:color w:val="000000"/>
              </w:rPr>
            </w:pPr>
            <w:r>
              <w:rPr>
                <w:rFonts w:hint="eastAsia" w:ascii="宋体" w:hAnsi="宋体" w:cs="宋体"/>
                <w:color w:val="000000"/>
              </w:rPr>
              <w:t>11</w:t>
            </w:r>
          </w:p>
        </w:tc>
        <w:tc>
          <w:tcPr>
            <w:tcW w:w="742" w:type="dxa"/>
            <w:vAlign w:val="center"/>
          </w:tcPr>
          <w:p>
            <w:pPr>
              <w:jc w:val="center"/>
              <w:rPr>
                <w:rFonts w:ascii="宋体" w:hAnsi="宋体" w:cs="宋体"/>
                <w:color w:val="000000"/>
              </w:rPr>
            </w:pPr>
            <w:r>
              <w:rPr>
                <w:rFonts w:hint="eastAsia" w:ascii="宋体" w:hAnsi="宋体" w:cs="宋体"/>
                <w:color w:val="000000"/>
              </w:rPr>
              <w:t>√</w:t>
            </w:r>
          </w:p>
        </w:tc>
        <w:tc>
          <w:tcPr>
            <w:tcW w:w="1979" w:type="dxa"/>
            <w:vAlign w:val="center"/>
          </w:tcPr>
          <w:p>
            <w:pPr>
              <w:widowControl/>
              <w:jc w:val="center"/>
              <w:rPr>
                <w:sz w:val="20"/>
                <w:szCs w:val="20"/>
              </w:rPr>
            </w:pPr>
            <w:r>
              <w:rPr>
                <w:rFonts w:hint="eastAsia"/>
                <w:sz w:val="20"/>
                <w:szCs w:val="20"/>
              </w:rPr>
              <w:t>VX2400备份设备H</w:t>
            </w:r>
            <w:r>
              <w:rPr>
                <w:sz w:val="20"/>
                <w:szCs w:val="20"/>
              </w:rPr>
              <w:t>BA</w:t>
            </w:r>
            <w:r>
              <w:rPr>
                <w:rFonts w:hint="eastAsia"/>
                <w:sz w:val="20"/>
                <w:szCs w:val="20"/>
              </w:rPr>
              <w:t>卡扩容</w:t>
            </w:r>
          </w:p>
        </w:tc>
        <w:tc>
          <w:tcPr>
            <w:tcW w:w="5676" w:type="dxa"/>
            <w:vAlign w:val="center"/>
          </w:tcPr>
          <w:p>
            <w:pPr>
              <w:widowControl/>
              <w:jc w:val="left"/>
              <w:rPr>
                <w:sz w:val="20"/>
                <w:szCs w:val="20"/>
              </w:rPr>
            </w:pPr>
            <w:r>
              <w:rPr>
                <w:rFonts w:hint="eastAsia"/>
                <w:sz w:val="20"/>
                <w:szCs w:val="20"/>
              </w:rPr>
              <w:t>QLogic 双端口8Gb光纤通道HBA本次配置≥1块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676" w:type="dxa"/>
            <w:vAlign w:val="center"/>
          </w:tcPr>
          <w:p>
            <w:pPr>
              <w:jc w:val="center"/>
              <w:rPr>
                <w:rFonts w:ascii="宋体" w:hAnsi="宋体" w:cs="宋体"/>
                <w:color w:val="000000"/>
              </w:rPr>
            </w:pPr>
            <w:r>
              <w:rPr>
                <w:rFonts w:hint="eastAsia" w:ascii="宋体" w:hAnsi="宋体" w:cs="宋体"/>
                <w:color w:val="000000"/>
              </w:rPr>
              <w:t>12</w:t>
            </w:r>
          </w:p>
        </w:tc>
        <w:tc>
          <w:tcPr>
            <w:tcW w:w="742" w:type="dxa"/>
            <w:vAlign w:val="center"/>
          </w:tcPr>
          <w:p>
            <w:pPr>
              <w:jc w:val="center"/>
              <w:rPr>
                <w:rFonts w:ascii="宋体" w:hAnsi="宋体" w:cs="宋体"/>
                <w:color w:val="000000"/>
              </w:rPr>
            </w:pPr>
            <w:r>
              <w:rPr>
                <w:rFonts w:hint="eastAsia" w:ascii="宋体" w:hAnsi="宋体" w:cs="宋体"/>
                <w:color w:val="000000"/>
              </w:rPr>
              <w:t>√</w:t>
            </w:r>
          </w:p>
        </w:tc>
        <w:tc>
          <w:tcPr>
            <w:tcW w:w="1979" w:type="dxa"/>
            <w:vAlign w:val="center"/>
          </w:tcPr>
          <w:p>
            <w:pPr>
              <w:widowControl/>
              <w:jc w:val="center"/>
              <w:rPr>
                <w:sz w:val="20"/>
                <w:szCs w:val="20"/>
              </w:rPr>
            </w:pPr>
            <w:r>
              <w:rPr>
                <w:rFonts w:hint="eastAsia"/>
                <w:sz w:val="20"/>
                <w:szCs w:val="20"/>
              </w:rPr>
              <w:t>虚拟化服务器网卡扩容</w:t>
            </w:r>
          </w:p>
        </w:tc>
        <w:tc>
          <w:tcPr>
            <w:tcW w:w="5676" w:type="dxa"/>
            <w:vAlign w:val="center"/>
          </w:tcPr>
          <w:p>
            <w:pPr>
              <w:widowControl/>
              <w:jc w:val="left"/>
              <w:rPr>
                <w:sz w:val="20"/>
                <w:szCs w:val="20"/>
              </w:rPr>
            </w:pPr>
            <w:r>
              <w:rPr>
                <w:rFonts w:hint="eastAsia"/>
                <w:sz w:val="20"/>
                <w:szCs w:val="20"/>
              </w:rPr>
              <w:t>联想RQ940/SR860服务器双端口千兆以太网电口卡, 本次配置≥8块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73" w:type="dxa"/>
            <w:gridSpan w:val="4"/>
            <w:vAlign w:val="center"/>
          </w:tcPr>
          <w:p>
            <w:pPr>
              <w:widowControl/>
              <w:rPr>
                <w:rFonts w:ascii="宋体" w:hAnsi="宋体" w:cs="宋体"/>
                <w:color w:val="000000"/>
              </w:rPr>
            </w:pPr>
            <w:r>
              <w:rPr>
                <w:rFonts w:hint="eastAsia" w:ascii="宋体" w:hAnsi="宋体" w:cs="宋体"/>
                <w:color w:val="000000"/>
              </w:rPr>
              <w:t>注：</w:t>
            </w:r>
            <w:r>
              <w:rPr>
                <w:rFonts w:ascii="宋体" w:hAnsi="宋体" w:cs="宋体"/>
                <w:color w:val="000000"/>
              </w:rPr>
              <w:t>1.</w:t>
            </w:r>
            <w:r>
              <w:rPr>
                <w:rFonts w:hint="eastAsia" w:ascii="宋体" w:hAnsi="宋体" w:cs="宋体"/>
                <w:color w:val="000000"/>
              </w:rPr>
              <w:t>“参数性质”栏中划“</w:t>
            </w:r>
            <w:r>
              <w:rPr>
                <w:rFonts w:ascii="宋体" w:hAnsi="宋体" w:cs="宋体"/>
                <w:color w:val="000000"/>
              </w:rPr>
              <w:t>0</w:t>
            </w:r>
            <w:r>
              <w:rPr>
                <w:rFonts w:hint="eastAsia" w:ascii="宋体" w:hAnsi="宋体" w:cs="宋体"/>
                <w:color w:val="000000"/>
              </w:rPr>
              <w:t>”表示此参数为一般性技术参数，划“√”表示此参数为重要技术参数；</w:t>
            </w:r>
          </w:p>
          <w:p>
            <w:pPr>
              <w:widowControl/>
              <w:rPr>
                <w:rFonts w:ascii="宋体" w:hAnsi="宋体" w:cs="宋体"/>
                <w:color w:val="000000"/>
              </w:rPr>
            </w:pPr>
            <w:r>
              <w:rPr>
                <w:rFonts w:ascii="宋体" w:hAnsi="宋体" w:cs="宋体"/>
                <w:color w:val="000000"/>
              </w:rPr>
              <w:t>2</w:t>
            </w:r>
            <w:r>
              <w:rPr>
                <w:rFonts w:hint="eastAsia" w:ascii="宋体" w:hAnsi="宋体" w:cs="宋体"/>
                <w:color w:val="000000"/>
              </w:rPr>
              <w:t>．重要技术参数有负偏离的，属未实质性响应；</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971"/>
    <w:rsid w:val="00095609"/>
    <w:rsid w:val="00095F9D"/>
    <w:rsid w:val="000C28B9"/>
    <w:rsid w:val="000F0FC9"/>
    <w:rsid w:val="00143DEA"/>
    <w:rsid w:val="001E4A0F"/>
    <w:rsid w:val="001E6FD1"/>
    <w:rsid w:val="00223AFC"/>
    <w:rsid w:val="00233759"/>
    <w:rsid w:val="0024749B"/>
    <w:rsid w:val="0025161F"/>
    <w:rsid w:val="00270B78"/>
    <w:rsid w:val="004754C1"/>
    <w:rsid w:val="00497202"/>
    <w:rsid w:val="004D4BC4"/>
    <w:rsid w:val="005E4F65"/>
    <w:rsid w:val="006D53F7"/>
    <w:rsid w:val="007E04BB"/>
    <w:rsid w:val="00816614"/>
    <w:rsid w:val="00854554"/>
    <w:rsid w:val="008545FE"/>
    <w:rsid w:val="008F3269"/>
    <w:rsid w:val="0091561B"/>
    <w:rsid w:val="009948C6"/>
    <w:rsid w:val="009E6D8D"/>
    <w:rsid w:val="009F4168"/>
    <w:rsid w:val="00A36564"/>
    <w:rsid w:val="00A40EE1"/>
    <w:rsid w:val="00A7304F"/>
    <w:rsid w:val="00AA4CC5"/>
    <w:rsid w:val="00B50286"/>
    <w:rsid w:val="00C451EA"/>
    <w:rsid w:val="00C75971"/>
    <w:rsid w:val="00CA2C48"/>
    <w:rsid w:val="00D942A2"/>
    <w:rsid w:val="00DE683D"/>
    <w:rsid w:val="00E7280B"/>
    <w:rsid w:val="00EB3766"/>
    <w:rsid w:val="00F56019"/>
    <w:rsid w:val="00F9674E"/>
    <w:rsid w:val="41534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D905B4-A3DD-4F30-B4EB-3D30B4D98EC6}">
  <ds:schemaRefs/>
</ds:datastoreItem>
</file>

<file path=docProps/app.xml><?xml version="1.0" encoding="utf-8"?>
<Properties xmlns="http://schemas.openxmlformats.org/officeDocument/2006/extended-properties" xmlns:vt="http://schemas.openxmlformats.org/officeDocument/2006/docPropsVTypes">
  <Template>Normal</Template>
  <Pages>1</Pages>
  <Words>138</Words>
  <Characters>793</Characters>
  <Lines>6</Lines>
  <Paragraphs>1</Paragraphs>
  <TotalTime>85</TotalTime>
  <ScaleCrop>false</ScaleCrop>
  <LinksUpToDate>false</LinksUpToDate>
  <CharactersWithSpaces>930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2016-09-23T10:09:00Z</dcterms:created>
  <dc:creator>admin</dc:creator>
  <cp:lastModifiedBy>晓静</cp:lastModifiedBy>
  <dcterms:modified xsi:type="dcterms:W3CDTF">2019-06-06T02:32:16Z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